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947A2" w:rsidRPr="00B56AA4" w:rsidRDefault="00000000" w:rsidP="00B56AA4">
      <w:pPr>
        <w:pStyle w:val="Heading1"/>
      </w:pPr>
      <w:r w:rsidRPr="00B56AA4">
        <w:t>20-DIAGNOSIS &amp; DECISION-MAKING</w:t>
      </w:r>
    </w:p>
    <w:p w14:paraId="00000002" w14:textId="4DB5FBDA" w:rsidR="007947A2" w:rsidRDefault="00000000">
      <w:p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2835"/>
        </w:tabs>
        <w:jc w:val="center"/>
        <w:rPr>
          <w:color w:val="000000"/>
          <w:u w:val="single"/>
        </w:rPr>
      </w:pPr>
      <w:r>
        <w:t>24121</w:t>
      </w:r>
      <w:r w:rsidR="00B56AA4">
        <w:t>3</w:t>
      </w:r>
    </w:p>
    <w:p w14:paraId="00000006" w14:textId="77777777" w:rsidR="007947A2" w:rsidRPr="00105A6F" w:rsidRDefault="007947A2">
      <w:pPr>
        <w:pStyle w:val="Heading1"/>
        <w:rPr>
          <w:lang w:val="en-US"/>
        </w:rPr>
      </w:pPr>
    </w:p>
    <w:p w14:paraId="7BD9B6B8" w14:textId="4E4826A3" w:rsidR="00105A6F" w:rsidRPr="00105A6F" w:rsidRDefault="00105A6F" w:rsidP="00B56AA4">
      <w:pPr>
        <w:pStyle w:val="Heading2"/>
      </w:pPr>
      <w:r w:rsidRPr="00105A6F">
        <w:t>Allmänt</w:t>
      </w:r>
    </w:p>
    <w:p w14:paraId="794C9AD3" w14:textId="77777777" w:rsidR="00105A6F" w:rsidRDefault="00105A6F" w:rsidP="00105A6F">
      <w:r>
        <w:t xml:space="preserve">2023 </w:t>
      </w:r>
      <w:hyperlink r:id="rId8">
        <w:r>
          <w:rPr>
            <w:color w:val="1155CC"/>
            <w:u w:val="single"/>
          </w:rPr>
          <w:t>Clinical decision rules are ruining medicine - First10EM</w:t>
        </w:r>
      </w:hyperlink>
    </w:p>
    <w:p w14:paraId="65E0C644" w14:textId="77777777" w:rsidR="00105A6F" w:rsidRDefault="00105A6F" w:rsidP="00105A6F">
      <w:r>
        <w:t xml:space="preserve">2016 </w:t>
      </w:r>
      <w:hyperlink r:id="rId9">
        <w:r>
          <w:rPr>
            <w:color w:val="1155CC"/>
            <w:u w:val="single"/>
          </w:rPr>
          <w:t>Episode 75 Decision Making in EM - Cognitive Debiasing, Situational Awareness &amp; Preferred Error - Emergency Medicine Cases</w:t>
        </w:r>
      </w:hyperlink>
    </w:p>
    <w:p w14:paraId="1101621A" w14:textId="77777777" w:rsidR="00105A6F" w:rsidRDefault="00105A6F" w:rsidP="00105A6F">
      <w:r>
        <w:t xml:space="preserve">2016 EMDocs </w:t>
      </w:r>
      <w:hyperlink r:id="rId10">
        <w:r>
          <w:rPr>
            <w:color w:val="1155CC"/>
            <w:u w:val="single"/>
          </w:rPr>
          <w:t>Cognitive Load and the Emergency Physician</w:t>
        </w:r>
      </w:hyperlink>
    </w:p>
    <w:p w14:paraId="4CD6649D" w14:textId="77777777" w:rsidR="00105A6F" w:rsidRDefault="00105A6F" w:rsidP="00105A6F">
      <w:r>
        <w:t xml:space="preserve">2014 </w:t>
      </w:r>
      <w:hyperlink r:id="rId11">
        <w:r>
          <w:rPr>
            <w:color w:val="1155CC"/>
            <w:u w:val="single"/>
          </w:rPr>
          <w:t>Episode 56 The Stiell Sessions: Clinical Decision Rules and Risk Scales</w:t>
        </w:r>
      </w:hyperlink>
    </w:p>
    <w:p w14:paraId="17D60FA4" w14:textId="77777777" w:rsidR="00105A6F" w:rsidRDefault="00105A6F" w:rsidP="00105A6F">
      <w:r>
        <w:t xml:space="preserve">2013 Almquist </w:t>
      </w:r>
      <w:hyperlink r:id="rId12">
        <w:r>
          <w:rPr>
            <w:color w:val="1155CC"/>
            <w:u w:val="single"/>
          </w:rPr>
          <w:t>Kloka kliniska val – att avstå det som inte gör nytta för patienten</w:t>
        </w:r>
      </w:hyperlink>
    </w:p>
    <w:p w14:paraId="0751312B" w14:textId="77777777" w:rsidR="00105A6F" w:rsidRDefault="00105A6F" w:rsidP="00105A6F">
      <w:pPr>
        <w:rPr>
          <w:color w:val="1155CC"/>
          <w:u w:val="single"/>
        </w:rPr>
      </w:pPr>
      <w:r>
        <w:t xml:space="preserve">2013 Sundblom ABC </w:t>
      </w:r>
      <w:hyperlink r:id="rId13">
        <w:r>
          <w:rPr>
            <w:color w:val="1155CC"/>
            <w:u w:val="single"/>
          </w:rPr>
          <w:t>Beslutsfattande på akuten</w:t>
        </w:r>
      </w:hyperlink>
    </w:p>
    <w:p w14:paraId="2B1B66DD" w14:textId="77777777" w:rsidR="00105A6F" w:rsidRDefault="00105A6F" w:rsidP="00105A6F">
      <w:r>
        <w:t xml:space="preserve">1980 Pauker </w:t>
      </w:r>
      <w:hyperlink r:id="rId14">
        <w:r>
          <w:rPr>
            <w:color w:val="1155CC"/>
            <w:u w:val="single"/>
          </w:rPr>
          <w:t>The threshold approach to clinical decision making - PubMed</w:t>
        </w:r>
      </w:hyperlink>
    </w:p>
    <w:p w14:paraId="3EB8B00A" w14:textId="77777777" w:rsidR="00105A6F" w:rsidRPr="00105A6F" w:rsidRDefault="00105A6F" w:rsidP="00B56AA4">
      <w:pPr>
        <w:pStyle w:val="Heading2"/>
        <w:rPr>
          <w:lang w:val="en-SE"/>
        </w:rPr>
      </w:pPr>
    </w:p>
    <w:p w14:paraId="36DFF882" w14:textId="6A439BB0" w:rsidR="00105A6F" w:rsidRDefault="00000000" w:rsidP="00B56AA4">
      <w:pPr>
        <w:pStyle w:val="Heading2"/>
        <w:rPr>
          <w:lang w:val="en-US"/>
        </w:rPr>
      </w:pPr>
      <w:r w:rsidRPr="00105A6F">
        <w:rPr>
          <w:lang w:val="en-US"/>
        </w:rPr>
        <w:t>Diagnostik</w:t>
      </w:r>
    </w:p>
    <w:p w14:paraId="7B31564C" w14:textId="77777777" w:rsidR="00105A6F" w:rsidRDefault="00105A6F" w:rsidP="00105A6F">
      <w:r>
        <w:t xml:space="preserve">2023 Lindfors </w:t>
      </w:r>
      <w:hyperlink r:id="rId15">
        <w:r>
          <w:rPr>
            <w:color w:val="1155CC"/>
            <w:u w:val="single"/>
          </w:rPr>
          <w:t>Överdiagnostik – vad är det?</w:t>
        </w:r>
      </w:hyperlink>
    </w:p>
    <w:p w14:paraId="499CDF84" w14:textId="77777777" w:rsidR="00105A6F" w:rsidRDefault="00105A6F" w:rsidP="00105A6F">
      <w:r>
        <w:t xml:space="preserve">2019 Swesem </w:t>
      </w:r>
      <w:hyperlink r:id="rId16">
        <w:r>
          <w:rPr>
            <w:color w:val="1155CC"/>
            <w:u w:val="single"/>
          </w:rPr>
          <w:t>Differentialdiagnostik</w:t>
        </w:r>
      </w:hyperlink>
    </w:p>
    <w:p w14:paraId="746A78AC" w14:textId="77777777" w:rsidR="00105A6F" w:rsidRDefault="00105A6F" w:rsidP="00105A6F">
      <w:r>
        <w:t xml:space="preserve">2013 Sylemez Wiener </w:t>
      </w:r>
      <w:hyperlink r:id="rId17">
        <w:r>
          <w:rPr>
            <w:color w:val="1155CC"/>
            <w:u w:val="single"/>
          </w:rPr>
          <w:t>When a test is too good: how CT pulmonary angiograms find pulmonary emboli that do not need to be found</w:t>
        </w:r>
      </w:hyperlink>
    </w:p>
    <w:p w14:paraId="627014D2" w14:textId="77777777" w:rsidR="00105A6F" w:rsidRDefault="00105A6F" w:rsidP="00105A6F">
      <w:pPr>
        <w:rPr>
          <w:color w:val="1155CC"/>
          <w:u w:val="single"/>
        </w:rPr>
      </w:pPr>
      <w:r>
        <w:t xml:space="preserve">2009 Frigyesi </w:t>
      </w:r>
      <w:hyperlink r:id="rId18">
        <w:r>
          <w:rPr>
            <w:color w:val="1155CC"/>
            <w:u w:val="single"/>
          </w:rPr>
          <w:t>Alla medicinare bör känna till resonemanget kring Bayes’ sats</w:t>
        </w:r>
      </w:hyperlink>
    </w:p>
    <w:p w14:paraId="367B6398" w14:textId="77777777" w:rsidR="00105A6F" w:rsidRDefault="00105A6F" w:rsidP="00B56AA4">
      <w:pPr>
        <w:pStyle w:val="Heading2"/>
        <w:rPr>
          <w:lang w:val="en-SE"/>
        </w:rPr>
      </w:pPr>
    </w:p>
    <w:p w14:paraId="44B76786" w14:textId="77777777" w:rsidR="00105A6F" w:rsidRDefault="00105A6F" w:rsidP="00105A6F">
      <w:pPr>
        <w:pStyle w:val="Heading3"/>
      </w:pPr>
      <w:r>
        <w:t>Diagnostiska misstag</w:t>
      </w:r>
    </w:p>
    <w:p w14:paraId="4B0B600A" w14:textId="77777777" w:rsidR="00105A6F" w:rsidRDefault="00105A6F" w:rsidP="00105A6F">
      <w:r>
        <w:t xml:space="preserve">2015 </w:t>
      </w:r>
      <w:hyperlink r:id="rId19">
        <w:r>
          <w:rPr>
            <w:color w:val="1155CC"/>
            <w:u w:val="single"/>
          </w:rPr>
          <w:t>Episode 62 Diagnostic Decision Making in Emergency Medicine</w:t>
        </w:r>
      </w:hyperlink>
    </w:p>
    <w:p w14:paraId="0E7029BE" w14:textId="77777777" w:rsidR="00105A6F" w:rsidRDefault="00105A6F" w:rsidP="00105A6F">
      <w:r>
        <w:t xml:space="preserve">2013 Haur Phua </w:t>
      </w:r>
      <w:hyperlink r:id="rId20">
        <w:r>
          <w:rPr>
            <w:color w:val="1155CC"/>
            <w:u w:val="single"/>
          </w:rPr>
          <w:t>Cognitive Aspect of Diagnostic Errors</w:t>
        </w:r>
      </w:hyperlink>
    </w:p>
    <w:p w14:paraId="7FFE03C9" w14:textId="77777777" w:rsidR="00105A6F" w:rsidRDefault="00105A6F" w:rsidP="00105A6F">
      <w:pPr>
        <w:rPr>
          <w:color w:val="1155CC"/>
          <w:u w:val="single"/>
        </w:rPr>
      </w:pPr>
      <w:r>
        <w:t xml:space="preserve">2011 </w:t>
      </w:r>
      <w:hyperlink r:id="rId21">
        <w:r>
          <w:rPr>
            <w:color w:val="1155CC"/>
            <w:u w:val="single"/>
          </w:rPr>
          <w:t>Cognitive Decision Making &amp; Medical Error | Emergency Medicine Cases</w:t>
        </w:r>
      </w:hyperlink>
    </w:p>
    <w:p w14:paraId="179EA4D5" w14:textId="77777777" w:rsidR="00105A6F" w:rsidRDefault="00105A6F" w:rsidP="00105A6F">
      <w:pPr>
        <w:rPr>
          <w:color w:val="1155CC"/>
          <w:u w:val="single"/>
        </w:rPr>
      </w:pPr>
      <w:r>
        <w:t xml:space="preserve">2010 Westbrook </w:t>
      </w:r>
      <w:hyperlink r:id="rId22">
        <w:r>
          <w:rPr>
            <w:color w:val="1155CC"/>
            <w:u w:val="single"/>
          </w:rPr>
          <w:t>The impact of interruptions on clinical task completion - PubMed</w:t>
        </w:r>
      </w:hyperlink>
    </w:p>
    <w:p w14:paraId="215FC2E3" w14:textId="77777777" w:rsidR="00105A6F" w:rsidRDefault="00105A6F" w:rsidP="00105A6F">
      <w:r>
        <w:t xml:space="preserve">2008 Berner </w:t>
      </w:r>
      <w:hyperlink r:id="rId23">
        <w:r>
          <w:rPr>
            <w:color w:val="1155CC"/>
            <w:u w:val="single"/>
          </w:rPr>
          <w:t>Overconfidence as a cause of diagnostic error in medicine - PubMed</w:t>
        </w:r>
      </w:hyperlink>
    </w:p>
    <w:p w14:paraId="4C752273" w14:textId="77777777" w:rsidR="00105A6F" w:rsidRPr="00105A6F" w:rsidRDefault="00105A6F" w:rsidP="00105A6F">
      <w:pPr>
        <w:rPr>
          <w:lang w:eastAsia="sv-SE"/>
        </w:rPr>
      </w:pPr>
    </w:p>
    <w:p w14:paraId="00000007" w14:textId="7DC43EC6" w:rsidR="007947A2" w:rsidRPr="00105A6F" w:rsidRDefault="00105A6F" w:rsidP="00B56AA4">
      <w:pPr>
        <w:pStyle w:val="Heading2"/>
        <w:rPr>
          <w:lang w:val="en-US"/>
        </w:rPr>
      </w:pPr>
      <w:r>
        <w:rPr>
          <w:lang w:val="en-US"/>
        </w:rPr>
        <w:t>Beslutsfattande</w:t>
      </w:r>
    </w:p>
    <w:p w14:paraId="0000000F" w14:textId="77777777" w:rsidR="007947A2" w:rsidRDefault="00000000">
      <w:r>
        <w:t xml:space="preserve">2016 Holzmann </w:t>
      </w:r>
      <w:hyperlink r:id="rId24">
        <w:r>
          <w:rPr>
            <w:color w:val="1155CC"/>
            <w:u w:val="single"/>
          </w:rPr>
          <w:t>Utredning av bröstsmärta fick oanade konsekvenser</w:t>
        </w:r>
      </w:hyperlink>
    </w:p>
    <w:p w14:paraId="00000016" w14:textId="77777777" w:rsidR="007947A2" w:rsidRDefault="00000000">
      <w:pPr>
        <w:rPr>
          <w:color w:val="1155CC"/>
          <w:u w:val="single"/>
        </w:rPr>
      </w:pPr>
      <w:r>
        <w:t xml:space="preserve">2015 </w:t>
      </w:r>
      <w:hyperlink r:id="rId25">
        <w:r>
          <w:rPr>
            <w:color w:val="1155CC"/>
            <w:u w:val="single"/>
          </w:rPr>
          <w:t>Heroism or Safety  Maybe Both Peter Brindley</w:t>
        </w:r>
      </w:hyperlink>
    </w:p>
    <w:p w14:paraId="64C51DDD" w14:textId="77777777" w:rsidR="00105A6F" w:rsidRDefault="00105A6F" w:rsidP="00105A6F">
      <w:r>
        <w:t xml:space="preserve">2011 </w:t>
      </w:r>
      <w:hyperlink r:id="rId26">
        <w:r>
          <w:rPr>
            <w:color w:val="1155CC"/>
            <w:u w:val="single"/>
          </w:rPr>
          <w:t>Just A Routine Operation</w:t>
        </w:r>
      </w:hyperlink>
    </w:p>
    <w:p w14:paraId="00000026" w14:textId="77777777" w:rsidR="007947A2" w:rsidRDefault="007947A2"/>
    <w:p w14:paraId="00000027" w14:textId="77777777" w:rsidR="007947A2" w:rsidRDefault="00000000" w:rsidP="00105A6F">
      <w:pPr>
        <w:pStyle w:val="Heading2"/>
      </w:pPr>
      <w:bookmarkStart w:id="0" w:name="_heading=h.vg5b6157hx1f" w:colFirst="0" w:colLast="0"/>
      <w:bookmarkEnd w:id="0"/>
      <w:r>
        <w:t>Handledning</w:t>
      </w:r>
    </w:p>
    <w:p w14:paraId="00000028" w14:textId="77777777" w:rsidR="007947A2" w:rsidRDefault="00000000">
      <w:pPr>
        <w:rPr>
          <w:b/>
        </w:rPr>
      </w:pPr>
      <w:r>
        <w:t xml:space="preserve">2017 </w:t>
      </w:r>
      <w:hyperlink r:id="rId27">
        <w:r>
          <w:rPr>
            <w:color w:val="1155CC"/>
            <w:u w:val="single"/>
          </w:rPr>
          <w:t>Teaching on Shift | EM Cases | Emergency Medicine Cases</w:t>
        </w:r>
      </w:hyperlink>
    </w:p>
    <w:p w14:paraId="00000029" w14:textId="77777777" w:rsidR="007947A2" w:rsidRDefault="00000000">
      <w:hyperlink r:id="rId28">
        <w:r>
          <w:rPr>
            <w:color w:val="1155CC"/>
            <w:u w:val="single"/>
          </w:rPr>
          <w:t>Klinisk handledning</w:t>
        </w:r>
      </w:hyperlink>
    </w:p>
    <w:p w14:paraId="0000002A" w14:textId="77777777" w:rsidR="007947A2" w:rsidRDefault="007947A2">
      <w:pPr>
        <w:pStyle w:val="Heading1"/>
      </w:pPr>
      <w:bookmarkStart w:id="1" w:name="_heading=h.gjdgxs" w:colFirst="0" w:colLast="0"/>
      <w:bookmarkEnd w:id="1"/>
    </w:p>
    <w:p w14:paraId="0000002B" w14:textId="77777777" w:rsidR="007947A2" w:rsidRDefault="007947A2"/>
    <w:p w14:paraId="0000002C" w14:textId="77777777" w:rsidR="007947A2" w:rsidRDefault="007947A2"/>
    <w:p w14:paraId="0000002D" w14:textId="77777777" w:rsidR="007947A2" w:rsidRDefault="007947A2"/>
    <w:p w14:paraId="0000002E" w14:textId="77777777" w:rsidR="007947A2" w:rsidRDefault="007947A2"/>
    <w:p w14:paraId="0000002F" w14:textId="77777777" w:rsidR="007947A2" w:rsidRDefault="007947A2">
      <w:pPr>
        <w:pStyle w:val="Heading1"/>
      </w:pPr>
    </w:p>
    <w:sectPr w:rsidR="007947A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9C8FC" w14:textId="77777777" w:rsidR="00D260BC" w:rsidRDefault="00D260BC">
      <w:r>
        <w:separator/>
      </w:r>
    </w:p>
  </w:endnote>
  <w:endnote w:type="continuationSeparator" w:id="0">
    <w:p w14:paraId="05F60016" w14:textId="77777777" w:rsidR="00D260BC" w:rsidRDefault="00D2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E3D3A" w14:textId="77777777" w:rsidR="00257ACC" w:rsidRDefault="00257A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0" w14:textId="32907C57" w:rsidR="007947A2" w:rsidRDefault="00257AC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t xml:space="preserve">Love Lindau Liljekvist &amp; </w:t>
    </w:r>
    <w:r w:rsidR="00000000">
      <w:rPr>
        <w:rFonts w:ascii="Times" w:eastAsia="Times" w:hAnsi="Times" w:cs="Times"/>
        <w:color w:val="000000"/>
      </w:rPr>
      <w:t>Eric Dryver, SUS Lund</w:t>
    </w:r>
  </w:p>
  <w:p w14:paraId="00000031" w14:textId="6B7A1B75" w:rsidR="007947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t xml:space="preserve">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56AA4">
      <w:rPr>
        <w:noProof/>
        <w:color w:val="000000"/>
      </w:rPr>
      <w:t>1</w:t>
    </w:r>
    <w:r>
      <w:rPr>
        <w:color w:val="000000"/>
      </w:rPr>
      <w:fldChar w:fldCharType="end"/>
    </w:r>
    <w:r>
      <w:rPr>
        <w:rFonts w:ascii="Times" w:eastAsia="Times" w:hAnsi="Times" w:cs="Times"/>
        <w:color w:val="000000"/>
      </w:rPr>
      <w:t xml:space="preserve"> -</w:t>
    </w:r>
  </w:p>
  <w:p w14:paraId="00000032" w14:textId="77777777" w:rsidR="007947A2" w:rsidRDefault="007947A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90430" w14:textId="77777777" w:rsidR="00257ACC" w:rsidRDefault="00257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BB9F1" w14:textId="77777777" w:rsidR="00D260BC" w:rsidRDefault="00D260BC">
      <w:r>
        <w:separator/>
      </w:r>
    </w:p>
  </w:footnote>
  <w:footnote w:type="continuationSeparator" w:id="0">
    <w:p w14:paraId="285655F5" w14:textId="77777777" w:rsidR="00D260BC" w:rsidRDefault="00D26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0C56" w14:textId="77777777" w:rsidR="00257ACC" w:rsidRDefault="00257A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5B626" w14:textId="77777777" w:rsidR="00257ACC" w:rsidRDefault="00257A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D5DDE" w14:textId="77777777" w:rsidR="00257ACC" w:rsidRDefault="00257A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E6208"/>
    <w:multiLevelType w:val="multilevel"/>
    <w:tmpl w:val="3746E4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F72D57"/>
    <w:multiLevelType w:val="multilevel"/>
    <w:tmpl w:val="3676965A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6D75EA6"/>
    <w:multiLevelType w:val="multilevel"/>
    <w:tmpl w:val="BB00A8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67840912">
    <w:abstractNumId w:val="2"/>
  </w:num>
  <w:num w:numId="2" w16cid:durableId="2075005082">
    <w:abstractNumId w:val="0"/>
  </w:num>
  <w:num w:numId="3" w16cid:durableId="998996445">
    <w:abstractNumId w:val="1"/>
  </w:num>
  <w:num w:numId="4" w16cid:durableId="1809516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0459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A2"/>
    <w:rsid w:val="00105A6F"/>
    <w:rsid w:val="00257ACC"/>
    <w:rsid w:val="007947A2"/>
    <w:rsid w:val="00AD01FD"/>
    <w:rsid w:val="00B56AA4"/>
    <w:rsid w:val="00D2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0C3217"/>
  <w15:docId w15:val="{CA4C9C17-333C-4442-AD1F-05833D86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660"/>
    <w:rPr>
      <w:lang w:val="en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6AA4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32"/>
      <w:lang w:val="sv-SE" w:eastAsia="sv-S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AA4"/>
    <w:pPr>
      <w:keepNext/>
      <w:keepLines/>
      <w:outlineLvl w:val="1"/>
    </w:pPr>
    <w:rPr>
      <w:rFonts w:eastAsiaTheme="majorEastAsia" w:cstheme="majorBidi"/>
      <w:b/>
      <w:bCs/>
      <w:sz w:val="28"/>
      <w:szCs w:val="26"/>
      <w:lang w:val="sv-SE" w:eastAsia="sv-SE"/>
    </w:rPr>
  </w:style>
  <w:style w:type="paragraph" w:styleId="Heading3">
    <w:name w:val="heading 3"/>
    <w:basedOn w:val="Normal"/>
    <w:next w:val="Normal"/>
    <w:uiPriority w:val="9"/>
    <w:unhideWhenUsed/>
    <w:qFormat/>
    <w:rsid w:val="00105A6F"/>
    <w:pPr>
      <w:keepNext/>
      <w:keepLines/>
      <w:outlineLvl w:val="2"/>
    </w:pPr>
    <w:rPr>
      <w:b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C4BD5"/>
    <w:pPr>
      <w:ind w:left="720"/>
      <w:contextualSpacing/>
    </w:pPr>
    <w:rPr>
      <w:lang w:val="sv-SE" w:eastAsia="sv-SE"/>
    </w:rPr>
  </w:style>
  <w:style w:type="paragraph" w:styleId="HTMLAddress">
    <w:name w:val="HTML Address"/>
    <w:aliases w:val=" adress"/>
    <w:basedOn w:val="z-TopofForm"/>
    <w:link w:val="HTMLAddressChar"/>
    <w:rsid w:val="003A6707"/>
    <w:pPr>
      <w:pBdr>
        <w:bottom w:val="none" w:sz="0" w:space="0" w:color="auto"/>
      </w:pBdr>
      <w:jc w:val="left"/>
    </w:pPr>
    <w:rPr>
      <w:rFonts w:ascii="Times New Roman" w:hAnsi="Times New Roman"/>
      <w:vanish w:val="0"/>
      <w:sz w:val="24"/>
      <w:szCs w:val="20"/>
      <w:lang w:val="en-US"/>
    </w:rPr>
  </w:style>
  <w:style w:type="character" w:customStyle="1" w:styleId="HTMLAddressChar">
    <w:name w:val="HTML Address Char"/>
    <w:aliases w:val=" adress Char"/>
    <w:basedOn w:val="DefaultParagraphFont"/>
    <w:link w:val="HTMLAddress"/>
    <w:rsid w:val="003A6707"/>
    <w:rPr>
      <w:sz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3A670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sv-SE" w:eastAsia="sv-SE"/>
    </w:rPr>
  </w:style>
  <w:style w:type="character" w:customStyle="1" w:styleId="z-TopofFormChar">
    <w:name w:val="z-Top of Form Char"/>
    <w:basedOn w:val="DefaultParagraphFont"/>
    <w:link w:val="z-TopofForm"/>
    <w:rsid w:val="003A6707"/>
    <w:rPr>
      <w:rFonts w:ascii="Arial" w:hAnsi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56AA4"/>
    <w:rPr>
      <w:rFonts w:eastAsiaTheme="majorEastAsia" w:cstheme="majorBidi"/>
      <w:b/>
      <w:bCs/>
      <w:sz w:val="28"/>
      <w:szCs w:val="32"/>
      <w:lang w:val="sv-SE"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B56AA4"/>
    <w:rPr>
      <w:rFonts w:eastAsiaTheme="majorEastAsia" w:cstheme="majorBidi"/>
      <w:b/>
      <w:bCs/>
      <w:sz w:val="28"/>
      <w:szCs w:val="26"/>
      <w:lang w:val="sv-SE" w:eastAsia="sv-SE"/>
    </w:rPr>
  </w:style>
  <w:style w:type="paragraph" w:styleId="BodyText">
    <w:name w:val="Body Text"/>
    <w:basedOn w:val="Normal"/>
    <w:link w:val="BodyTextChar"/>
    <w:rsid w:val="00793AE1"/>
    <w:rPr>
      <w:lang w:val="sv-SE" w:eastAsia="sv-SE"/>
    </w:rPr>
  </w:style>
  <w:style w:type="character" w:customStyle="1" w:styleId="BodyTextChar">
    <w:name w:val="Body Text Char"/>
    <w:basedOn w:val="DefaultParagraphFont"/>
    <w:link w:val="BodyText"/>
    <w:rsid w:val="00793AE1"/>
    <w:rPr>
      <w:sz w:val="24"/>
      <w:szCs w:val="24"/>
    </w:rPr>
  </w:style>
  <w:style w:type="paragraph" w:styleId="BodyText2">
    <w:name w:val="Body Text 2"/>
    <w:basedOn w:val="Normal"/>
    <w:link w:val="BodyText2Char"/>
    <w:rsid w:val="0050146F"/>
    <w:rPr>
      <w:i/>
      <w:color w:val="FF0000"/>
      <w:lang w:val="sv-SE" w:eastAsia="sv-SE"/>
    </w:rPr>
  </w:style>
  <w:style w:type="character" w:customStyle="1" w:styleId="BodyText2Char">
    <w:name w:val="Body Text 2 Char"/>
    <w:basedOn w:val="DefaultParagraphFont"/>
    <w:link w:val="BodyText2"/>
    <w:rsid w:val="0050146F"/>
    <w:rPr>
      <w:i/>
      <w:color w:val="FF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1D10B4"/>
    <w:rPr>
      <w:lang w:val="sv-SE" w:eastAsia="sv-SE"/>
    </w:rPr>
  </w:style>
  <w:style w:type="paragraph" w:styleId="TOC2">
    <w:name w:val="toc 2"/>
    <w:basedOn w:val="Normal"/>
    <w:next w:val="Normal"/>
    <w:autoRedefine/>
    <w:uiPriority w:val="39"/>
    <w:rsid w:val="001D10B4"/>
    <w:pPr>
      <w:ind w:left="240"/>
    </w:pPr>
    <w:rPr>
      <w:lang w:val="sv-SE" w:eastAsia="sv-SE"/>
    </w:rPr>
  </w:style>
  <w:style w:type="paragraph" w:styleId="TOC3">
    <w:name w:val="toc 3"/>
    <w:basedOn w:val="Normal"/>
    <w:next w:val="Normal"/>
    <w:autoRedefine/>
    <w:rsid w:val="001D10B4"/>
    <w:pPr>
      <w:ind w:left="480"/>
    </w:pPr>
    <w:rPr>
      <w:lang w:val="sv-SE" w:eastAsia="sv-SE"/>
    </w:rPr>
  </w:style>
  <w:style w:type="paragraph" w:styleId="TOC4">
    <w:name w:val="toc 4"/>
    <w:basedOn w:val="Normal"/>
    <w:next w:val="Normal"/>
    <w:autoRedefine/>
    <w:rsid w:val="001D10B4"/>
    <w:pPr>
      <w:ind w:left="720"/>
    </w:pPr>
    <w:rPr>
      <w:lang w:val="sv-SE" w:eastAsia="sv-SE"/>
    </w:rPr>
  </w:style>
  <w:style w:type="paragraph" w:styleId="TOC5">
    <w:name w:val="toc 5"/>
    <w:basedOn w:val="Normal"/>
    <w:next w:val="Normal"/>
    <w:autoRedefine/>
    <w:rsid w:val="001D10B4"/>
    <w:pPr>
      <w:ind w:left="960"/>
    </w:pPr>
    <w:rPr>
      <w:lang w:val="sv-SE" w:eastAsia="sv-SE"/>
    </w:rPr>
  </w:style>
  <w:style w:type="paragraph" w:styleId="TOC6">
    <w:name w:val="toc 6"/>
    <w:basedOn w:val="Normal"/>
    <w:next w:val="Normal"/>
    <w:autoRedefine/>
    <w:rsid w:val="001D10B4"/>
    <w:pPr>
      <w:ind w:left="1200"/>
    </w:pPr>
    <w:rPr>
      <w:lang w:val="sv-SE" w:eastAsia="sv-SE"/>
    </w:rPr>
  </w:style>
  <w:style w:type="paragraph" w:styleId="TOC7">
    <w:name w:val="toc 7"/>
    <w:basedOn w:val="Normal"/>
    <w:next w:val="Normal"/>
    <w:autoRedefine/>
    <w:rsid w:val="001D10B4"/>
    <w:pPr>
      <w:ind w:left="1440"/>
    </w:pPr>
    <w:rPr>
      <w:lang w:val="sv-SE" w:eastAsia="sv-SE"/>
    </w:rPr>
  </w:style>
  <w:style w:type="paragraph" w:styleId="TOC8">
    <w:name w:val="toc 8"/>
    <w:basedOn w:val="Normal"/>
    <w:next w:val="Normal"/>
    <w:autoRedefine/>
    <w:rsid w:val="001D10B4"/>
    <w:pPr>
      <w:ind w:left="1680"/>
    </w:pPr>
    <w:rPr>
      <w:lang w:val="sv-SE" w:eastAsia="sv-SE"/>
    </w:rPr>
  </w:style>
  <w:style w:type="paragraph" w:styleId="TOC9">
    <w:name w:val="toc 9"/>
    <w:basedOn w:val="Normal"/>
    <w:next w:val="Normal"/>
    <w:autoRedefine/>
    <w:rsid w:val="001D10B4"/>
    <w:pPr>
      <w:ind w:left="1920"/>
    </w:pPr>
    <w:rPr>
      <w:lang w:val="sv-SE" w:eastAsia="sv-SE"/>
    </w:rPr>
  </w:style>
  <w:style w:type="paragraph" w:styleId="Header">
    <w:name w:val="header"/>
    <w:basedOn w:val="Normal"/>
    <w:link w:val="HeaderChar"/>
    <w:rsid w:val="00BA1667"/>
    <w:pPr>
      <w:tabs>
        <w:tab w:val="center" w:pos="4703"/>
        <w:tab w:val="right" w:pos="9406"/>
      </w:tabs>
    </w:pPr>
    <w:rPr>
      <w:lang w:val="sv-SE" w:eastAsia="sv-SE"/>
    </w:rPr>
  </w:style>
  <w:style w:type="character" w:customStyle="1" w:styleId="HeaderChar">
    <w:name w:val="Header Char"/>
    <w:basedOn w:val="DefaultParagraphFont"/>
    <w:link w:val="Header"/>
    <w:rsid w:val="00BA1667"/>
    <w:rPr>
      <w:sz w:val="24"/>
      <w:szCs w:val="24"/>
    </w:rPr>
  </w:style>
  <w:style w:type="paragraph" w:styleId="Footer">
    <w:name w:val="footer"/>
    <w:basedOn w:val="Normal"/>
    <w:link w:val="FooterChar"/>
    <w:rsid w:val="00BA1667"/>
    <w:pPr>
      <w:tabs>
        <w:tab w:val="center" w:pos="4703"/>
        <w:tab w:val="right" w:pos="9406"/>
      </w:tabs>
    </w:pPr>
    <w:rPr>
      <w:lang w:val="sv-SE" w:eastAsia="sv-SE"/>
    </w:rPr>
  </w:style>
  <w:style w:type="character" w:customStyle="1" w:styleId="FooterChar">
    <w:name w:val="Footer Char"/>
    <w:basedOn w:val="DefaultParagraphFont"/>
    <w:link w:val="Footer"/>
    <w:rsid w:val="00BA1667"/>
    <w:rPr>
      <w:sz w:val="24"/>
      <w:szCs w:val="24"/>
    </w:rPr>
  </w:style>
  <w:style w:type="character" w:styleId="PageNumber">
    <w:name w:val="page number"/>
    <w:basedOn w:val="DefaultParagraphFont"/>
    <w:rsid w:val="00BA1667"/>
  </w:style>
  <w:style w:type="character" w:styleId="Hyperlink">
    <w:name w:val="Hyperlink"/>
    <w:uiPriority w:val="99"/>
    <w:rsid w:val="00B76868"/>
    <w:rPr>
      <w:color w:val="0000FF"/>
      <w:u w:val="single"/>
    </w:rPr>
  </w:style>
  <w:style w:type="paragraph" w:styleId="ListBullet2">
    <w:name w:val="List Bullet 2"/>
    <w:basedOn w:val="Normal"/>
    <w:autoRedefine/>
    <w:rsid w:val="001A0378"/>
    <w:pPr>
      <w:numPr>
        <w:numId w:val="3"/>
      </w:numPr>
    </w:pPr>
    <w:rPr>
      <w:rFonts w:ascii="Times" w:hAnsi="Times"/>
      <w:szCs w:val="20"/>
      <w:lang w:val="en-US" w:eastAsia="sv-SE"/>
    </w:rPr>
  </w:style>
  <w:style w:type="character" w:styleId="FollowedHyperlink">
    <w:name w:val="FollowedHyperlink"/>
    <w:basedOn w:val="DefaultParagraphFont"/>
    <w:rsid w:val="006127FE"/>
    <w:rPr>
      <w:color w:val="954F72" w:themeColor="followedHyperlink"/>
      <w:u w:val="single"/>
    </w:rPr>
  </w:style>
  <w:style w:type="character" w:customStyle="1" w:styleId="slug-vol">
    <w:name w:val="slug-vol"/>
    <w:basedOn w:val="DefaultParagraphFont"/>
    <w:rsid w:val="008E3054"/>
    <w:rPr>
      <w:b/>
      <w:bCs/>
    </w:rPr>
  </w:style>
  <w:style w:type="character" w:customStyle="1" w:styleId="cit-sep1">
    <w:name w:val="cit-sep1"/>
    <w:basedOn w:val="DefaultParagraphFont"/>
    <w:rsid w:val="008E3054"/>
    <w:rPr>
      <w:b w:val="0"/>
      <w:bCs w:val="0"/>
    </w:rPr>
  </w:style>
  <w:style w:type="character" w:customStyle="1" w:styleId="slug-pub-date3">
    <w:name w:val="slug-pub-date3"/>
    <w:basedOn w:val="DefaultParagraphFont"/>
    <w:rsid w:val="008E3054"/>
    <w:rPr>
      <w:b w:val="0"/>
      <w:bCs w:val="0"/>
    </w:rPr>
  </w:style>
  <w:style w:type="character" w:customStyle="1" w:styleId="slug-pages3">
    <w:name w:val="slug-pages3"/>
    <w:basedOn w:val="DefaultParagraphFont"/>
    <w:rsid w:val="008E3054"/>
    <w:rPr>
      <w:b w:val="0"/>
      <w:bCs w:val="0"/>
    </w:rPr>
  </w:style>
  <w:style w:type="character" w:customStyle="1" w:styleId="slug-doi2">
    <w:name w:val="slug-doi2"/>
    <w:basedOn w:val="DefaultParagraphFont"/>
    <w:rsid w:val="008E3054"/>
  </w:style>
  <w:style w:type="paragraph" w:customStyle="1" w:styleId="EndNoteBibliographyTitle">
    <w:name w:val="EndNote Bibliography Title"/>
    <w:basedOn w:val="Normal"/>
    <w:rsid w:val="00951B5E"/>
    <w:pPr>
      <w:jc w:val="center"/>
    </w:pPr>
    <w:rPr>
      <w:lang w:val="sv-SE" w:eastAsia="sv-SE"/>
    </w:rPr>
  </w:style>
  <w:style w:type="paragraph" w:customStyle="1" w:styleId="EndNoteBibliography">
    <w:name w:val="EndNote Bibliography"/>
    <w:basedOn w:val="Normal"/>
    <w:rsid w:val="00951B5E"/>
    <w:rPr>
      <w:lang w:val="sv-SE" w:eastAsia="sv-SE"/>
    </w:rPr>
  </w:style>
  <w:style w:type="character" w:customStyle="1" w:styleId="apple-converted-space">
    <w:name w:val="apple-converted-space"/>
    <w:basedOn w:val="DefaultParagraphFont"/>
    <w:rsid w:val="006B30C1"/>
  </w:style>
  <w:style w:type="character" w:styleId="Strong">
    <w:name w:val="Strong"/>
    <w:basedOn w:val="DefaultParagraphFont"/>
    <w:uiPriority w:val="22"/>
    <w:qFormat/>
    <w:rsid w:val="008C2E47"/>
    <w:rPr>
      <w:b/>
      <w:bCs/>
    </w:rPr>
  </w:style>
  <w:style w:type="character" w:styleId="Emphasis">
    <w:name w:val="Emphasis"/>
    <w:basedOn w:val="DefaultParagraphFont"/>
    <w:uiPriority w:val="20"/>
    <w:qFormat/>
    <w:rsid w:val="008C2E4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404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250E0"/>
    <w:pPr>
      <w:spacing w:before="100" w:beforeAutospacing="1" w:after="100" w:afterAutospacing="1"/>
    </w:pPr>
  </w:style>
  <w:style w:type="paragraph" w:styleId="ListBullet">
    <w:name w:val="List Bullet"/>
    <w:basedOn w:val="Normal"/>
    <w:semiHidden/>
    <w:unhideWhenUsed/>
    <w:rsid w:val="008839D1"/>
    <w:pPr>
      <w:tabs>
        <w:tab w:val="num" w:pos="720"/>
      </w:tabs>
      <w:ind w:left="720" w:hanging="720"/>
      <w:contextualSpacing/>
    </w:pPr>
    <w:rPr>
      <w:lang w:val="sv-SE" w:eastAsia="sv-SE"/>
    </w:rPr>
  </w:style>
  <w:style w:type="paragraph" w:customStyle="1" w:styleId="Checkbox">
    <w:name w:val="Checkbox"/>
    <w:basedOn w:val="Normal"/>
    <w:next w:val="ListBullet2"/>
    <w:qFormat/>
    <w:rsid w:val="00537AF6"/>
    <w:pPr>
      <w:tabs>
        <w:tab w:val="num" w:pos="720"/>
      </w:tabs>
      <w:autoSpaceDE w:val="0"/>
      <w:autoSpaceDN w:val="0"/>
      <w:adjustRightInd w:val="0"/>
      <w:ind w:left="720" w:hanging="720"/>
      <w:contextualSpacing/>
    </w:pPr>
    <w:rPr>
      <w:rFonts w:eastAsiaTheme="minorEastAsia"/>
      <w:lang w:val="sv-SE"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akartidningen.se/wp-content/uploads/OldWebArticlePdf/1/19399/LKT1312s631_635NY.pdf" TargetMode="External"/><Relationship Id="rId18" Type="http://schemas.openxmlformats.org/officeDocument/2006/relationships/hyperlink" Target="https://lakartidningen.se/wp-content/uploads/OldWebArticlePdf/1/11154/LKT0903s122_123.pdf" TargetMode="External"/><Relationship Id="rId26" Type="http://schemas.openxmlformats.org/officeDocument/2006/relationships/hyperlink" Target="https://www.youtube.com/watch?v=JzlvgtPIof4" TargetMode="External"/><Relationship Id="rId3" Type="http://schemas.openxmlformats.org/officeDocument/2006/relationships/styles" Target="styles.xml"/><Relationship Id="rId21" Type="http://schemas.openxmlformats.org/officeDocument/2006/relationships/hyperlink" Target="https://emergencymedicinecases.com/episode-11-cognitive-decision-making-medical-error/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lakartidningen.se/klinik-och-vetenskap-1/artiklar-1/klinisk-oversikt/2023/04/kloka-kliniska-val-att-avsta-det-som-inte-gor-nytta-for-patienten/" TargetMode="External"/><Relationship Id="rId17" Type="http://schemas.openxmlformats.org/officeDocument/2006/relationships/hyperlink" Target="https://www.bmj.com/content/347/bmj.f3368" TargetMode="External"/><Relationship Id="rId25" Type="http://schemas.openxmlformats.org/officeDocument/2006/relationships/hyperlink" Target="https://www.youtube.com/watch?v=jAYIfBPPXks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slf.se/swesem/app/uploads/2019/03/differentialdiagnostik-190211.pdf" TargetMode="External"/><Relationship Id="rId20" Type="http://schemas.openxmlformats.org/officeDocument/2006/relationships/hyperlink" Target="https://www.annals.edu.sg/pdf/42VolNo1Jan2013/V42N1p33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ergencymedicinecases.com/episode-56-stiell-sessions-clinical-decision-rules-risk-scales/" TargetMode="External"/><Relationship Id="rId24" Type="http://schemas.openxmlformats.org/officeDocument/2006/relationships/hyperlink" Target="https://lakartidningen.se/klinik-och-vetenskap-1/artiklar-1/fallbeskrivning/2016/04/utredning-av-brostmarta-fick-oanade-konsekvenser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akartidningen.se/klinik-och-vetenskap-1/artiklar-1/klinisk-oversikt/2023/11/overdiagnostik-vad-ar-det/" TargetMode="External"/><Relationship Id="rId23" Type="http://schemas.openxmlformats.org/officeDocument/2006/relationships/hyperlink" Target="https://pubmed.ncbi.nlm.nih.gov/18440350/" TargetMode="External"/><Relationship Id="rId28" Type="http://schemas.openxmlformats.org/officeDocument/2006/relationships/hyperlink" Target="https://www.kliniskhandledning.se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emdocs.net/cognitiveload/" TargetMode="External"/><Relationship Id="rId19" Type="http://schemas.openxmlformats.org/officeDocument/2006/relationships/hyperlink" Target="https://emergencymedicinecases.com/diagnostic-decision-making-in-emergency-medicine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ergencymedicinecases.com/decision-making-in-em/" TargetMode="External"/><Relationship Id="rId14" Type="http://schemas.openxmlformats.org/officeDocument/2006/relationships/hyperlink" Target="https://pubmed.ncbi.nlm.nih.gov/7366635/" TargetMode="External"/><Relationship Id="rId22" Type="http://schemas.openxmlformats.org/officeDocument/2006/relationships/hyperlink" Target="https://pubmed.ncbi.nlm.nih.gov/20463369/" TargetMode="External"/><Relationship Id="rId27" Type="http://schemas.openxmlformats.org/officeDocument/2006/relationships/hyperlink" Target="https://emergencymedicinecases.com/teaching-on-shift/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s://first10em.com/clinical-decision-rules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ZpFVKhQkeIdaEKC5EdJSd3x0bA==">CgMxLjAyDmgudmc1YjYxNTdoeDFmMghoLmdqZGd4czgAciExSHlmdmVxZjlPdHJPN0JxMkRibzdFQndqRW1wTm1kaDE=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USiL Akuten</dc:creator>
  <cp:lastModifiedBy>eric Dryver</cp:lastModifiedBy>
  <cp:revision>4</cp:revision>
  <dcterms:created xsi:type="dcterms:W3CDTF">2016-02-09T11:04:00Z</dcterms:created>
  <dcterms:modified xsi:type="dcterms:W3CDTF">2024-12-13T13:54:00Z</dcterms:modified>
</cp:coreProperties>
</file>