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CE359" w14:textId="515DD57E" w:rsidR="003A6707" w:rsidRPr="00BA3F9F" w:rsidRDefault="003A6707" w:rsidP="003A6707">
      <w:pPr>
        <w:pStyle w:val="HTMLAddress"/>
        <w:tabs>
          <w:tab w:val="left" w:pos="2835"/>
        </w:tabs>
        <w:jc w:val="center"/>
        <w:rPr>
          <w:b/>
          <w:sz w:val="28"/>
          <w:lang w:eastAsia="ja-JP"/>
        </w:rPr>
      </w:pPr>
      <w:r w:rsidRPr="00BA3F9F">
        <w:rPr>
          <w:b/>
          <w:sz w:val="28"/>
          <w:lang w:eastAsia="ja-JP"/>
        </w:rPr>
        <w:t>0</w:t>
      </w:r>
      <w:r w:rsidR="00911A39">
        <w:rPr>
          <w:b/>
          <w:sz w:val="28"/>
          <w:lang w:eastAsia="ja-JP"/>
        </w:rPr>
        <w:t>6</w:t>
      </w:r>
      <w:r w:rsidRPr="00BA3F9F">
        <w:rPr>
          <w:b/>
          <w:sz w:val="28"/>
          <w:lang w:eastAsia="ja-JP"/>
        </w:rPr>
        <w:t xml:space="preserve">: </w:t>
      </w:r>
      <w:r w:rsidR="00911A39">
        <w:rPr>
          <w:b/>
          <w:sz w:val="28"/>
          <w:lang w:eastAsia="ja-JP"/>
        </w:rPr>
        <w:t>ALTERED LEVEL OF CONSCIOUSNESS</w:t>
      </w:r>
      <w:r w:rsidR="00BA3F9F" w:rsidRPr="00BA3F9F">
        <w:rPr>
          <w:b/>
          <w:sz w:val="28"/>
          <w:lang w:eastAsia="ja-JP"/>
        </w:rPr>
        <w:t xml:space="preserve"> </w:t>
      </w:r>
      <w:r w:rsidR="0050146F" w:rsidRPr="00BA3F9F">
        <w:rPr>
          <w:b/>
          <w:sz w:val="28"/>
          <w:lang w:eastAsia="ja-JP"/>
        </w:rPr>
        <w:t xml:space="preserve">&amp; </w:t>
      </w:r>
      <w:r w:rsidR="00911A39">
        <w:rPr>
          <w:b/>
          <w:sz w:val="28"/>
          <w:lang w:eastAsia="ja-JP"/>
        </w:rPr>
        <w:t>HEADACHE</w:t>
      </w:r>
    </w:p>
    <w:p w14:paraId="103AA05B" w14:textId="4FABA99E" w:rsidR="003A6707" w:rsidRPr="00BA3F9F" w:rsidRDefault="0064373C" w:rsidP="003A6707">
      <w:pPr>
        <w:pStyle w:val="HTMLAddress"/>
        <w:tabs>
          <w:tab w:val="left" w:pos="2835"/>
        </w:tabs>
        <w:jc w:val="center"/>
        <w:rPr>
          <w:u w:val="single"/>
          <w:lang w:eastAsia="ja-JP"/>
        </w:rPr>
      </w:pPr>
      <w:r>
        <w:rPr>
          <w:lang w:eastAsia="ja-JP"/>
        </w:rPr>
        <w:t>Lat</w:t>
      </w:r>
      <w:r w:rsidR="002443F3">
        <w:rPr>
          <w:lang w:eastAsia="ja-JP"/>
        </w:rPr>
        <w:t>est</w:t>
      </w:r>
      <w:r>
        <w:rPr>
          <w:lang w:eastAsia="ja-JP"/>
        </w:rPr>
        <w:t xml:space="preserve"> Revision: 241118</w:t>
      </w:r>
    </w:p>
    <w:p w14:paraId="1057ECB4" w14:textId="77777777" w:rsidR="00AD788F" w:rsidRDefault="00AD788F"/>
    <w:p w14:paraId="6029BDC8" w14:textId="4F31E081" w:rsidR="00BA3F9F" w:rsidRPr="00687939" w:rsidRDefault="00803157" w:rsidP="00836C09">
      <w:pPr>
        <w:pStyle w:val="Heading1"/>
        <w:rPr>
          <w:lang w:val="en-US"/>
        </w:rPr>
      </w:pPr>
      <w:r w:rsidRPr="00687939">
        <w:rPr>
          <w:lang w:val="en-US"/>
        </w:rPr>
        <w:t>Altered Level of Consciousness</w:t>
      </w:r>
    </w:p>
    <w:p w14:paraId="78D05F5E" w14:textId="3C4DD61D" w:rsidR="009915BE" w:rsidRPr="006B3D43" w:rsidRDefault="009915BE" w:rsidP="00836C09">
      <w:pPr>
        <w:rPr>
          <w:lang w:val="sv-SE"/>
        </w:rPr>
      </w:pPr>
      <w:hyperlink r:id="rId8" w:history="1">
        <w:r w:rsidRPr="006B3D43">
          <w:rPr>
            <w:rStyle w:val="Hyperlink"/>
            <w:lang w:val="sv-SE"/>
          </w:rPr>
          <w:t>2024 El Ali ABC om Medvetanderubbning på akuten</w:t>
        </w:r>
      </w:hyperlink>
      <w:r w:rsidRPr="006B3D43">
        <w:rPr>
          <w:lang w:val="sv-SE"/>
        </w:rPr>
        <w:t xml:space="preserve"> </w:t>
      </w:r>
      <w:r w:rsidR="006B3D43">
        <w:rPr>
          <w:lang w:val="en-US"/>
        </w:rPr>
        <w:fldChar w:fldCharType="begin"/>
      </w:r>
      <w:r w:rsidR="006B3D43" w:rsidRPr="006B3D43">
        <w:rPr>
          <w:lang w:val="sv-SE"/>
        </w:rPr>
        <w:instrText xml:space="preserve"> ADDIN EN.CITE &lt;EndNote&gt;&lt;Cite&gt;&lt;Author&gt;El Ali&lt;/Author&gt;&lt;Year&gt;2024&lt;/Year&gt;&lt;RecNum&gt;4232&lt;/RecNum&gt;&lt;DisplayText&gt;[1]&lt;/DisplayText&gt;&lt;record&gt;&lt;rec-number&gt;4232&lt;/rec-number&gt;&lt;foreign-keys&gt;&lt;key app="EN" db-id="5rd9tv29z5xd0revrw5xdxzy5w5zpd9tvz55" timestamp="1731907554"&gt;4232&lt;/key&gt;&lt;/foreign-keys&gt;&lt;ref-type name="Journal Article"&gt;17&lt;/ref-type&gt;&lt;contributors&gt;&lt;authors&gt;&lt;author&gt;El Ali, J.&lt;/author&gt;&lt;author&gt;Coufal, P.&lt;/author&gt;&lt;author&gt;Engvall, C.&lt;/author&gt;&lt;author&gt;Hellström Vogel, Å&lt;/author&gt;&lt;/authors&gt;&lt;/contributors&gt;&lt;auth-address&gt;specialistläkare i akutsjukvård, ST-läkare, VO anestesi och intensivvård, , Helsingborgs lasarett.&amp;#xD;specialistläkare i akutsjukvård , iDoc Läkarbilar.&amp;#xD;bitr överläkare, VO akutsjukvård och internmedicin, Skånes universitetssjukhus Malmö.&amp;#xD;ST-läkare, VO internmedicin och akutsjukvård, Skånes universitetssjukhus Lund.&lt;/auth-address&gt;&lt;titles&gt;&lt;title&gt;[Management of patients with altered mental status in the Emergency Department]&lt;/title&gt;&lt;secondary-title&gt;Lakartidningen&lt;/secondary-title&gt;&lt;/titles&gt;&lt;periodical&gt;&lt;full-title&gt;Lakartidningen&lt;/full-title&gt;&lt;abbr-1&gt;Lakartidningen&lt;/abbr-1&gt;&lt;/periodical&gt;&lt;volume&gt;121&lt;/volume&gt;&lt;edition&gt;2024/03/25&lt;/edition&gt;&lt;keywords&gt;&lt;keyword&gt;Humans&lt;/keyword&gt;&lt;keyword&gt;*Emergency Service, Hospital&lt;/keyword&gt;&lt;keyword&gt;*Mental Disorders/diagnosis/therapy&lt;/keyword&gt;&lt;keyword&gt;Patients&lt;/keyword&gt;&lt;keyword&gt;Checklist&lt;/keyword&gt;&lt;keyword&gt;Diagnosis, Differential&lt;/keyword&gt;&lt;/keywords&gt;&lt;dates&gt;&lt;year&gt;2024&lt;/year&gt;&lt;pub-dates&gt;&lt;date&gt;Mar 25&lt;/date&gt;&lt;/pub-dates&gt;&lt;/dates&gt;&lt;orig-pub&gt;Medvetanderubbning på akuten: strukturerad utredning viktig.&lt;/orig-pub&gt;&lt;isbn&gt;0023-7205&lt;/isbn&gt;&lt;accession-num&gt;38526302&lt;/accession-num&gt;&lt;urls&gt;&lt;/urls&gt;&lt;remote-database-provider&gt;NLM&lt;/remote-database-provider&gt;&lt;language&gt;swe&lt;/language&gt;&lt;/record&gt;&lt;/Cite&gt;&lt;/EndNote&gt;</w:instrText>
      </w:r>
      <w:r w:rsidR="006B3D43">
        <w:rPr>
          <w:lang w:val="en-US"/>
        </w:rPr>
        <w:fldChar w:fldCharType="separate"/>
      </w:r>
      <w:r w:rsidR="006B3D43" w:rsidRPr="006B3D43">
        <w:rPr>
          <w:noProof/>
          <w:lang w:val="sv-SE"/>
        </w:rPr>
        <w:t>[</w:t>
      </w:r>
      <w:hyperlink w:anchor="_ENREF_1" w:tooltip="El Ali, 2024 #4232" w:history="1">
        <w:r w:rsidR="006B3D43" w:rsidRPr="006B3D43">
          <w:rPr>
            <w:noProof/>
            <w:lang w:val="sv-SE"/>
          </w:rPr>
          <w:t>1</w:t>
        </w:r>
      </w:hyperlink>
      <w:r w:rsidR="006B3D43" w:rsidRPr="006B3D43">
        <w:rPr>
          <w:noProof/>
          <w:lang w:val="sv-SE"/>
        </w:rPr>
        <w:t>]</w:t>
      </w:r>
      <w:r w:rsidR="006B3D43">
        <w:rPr>
          <w:lang w:val="en-US"/>
        </w:rPr>
        <w:fldChar w:fldCharType="end"/>
      </w:r>
    </w:p>
    <w:p w14:paraId="0F0B68DB" w14:textId="77777777" w:rsidR="00836C09" w:rsidRPr="006B3D43" w:rsidRDefault="00836C09" w:rsidP="00836C09">
      <w:pPr>
        <w:rPr>
          <w:lang w:val="sv-SE"/>
        </w:rPr>
      </w:pPr>
    </w:p>
    <w:p w14:paraId="73F22D4A" w14:textId="77777777" w:rsidR="00687939" w:rsidRDefault="00687939" w:rsidP="00836C09">
      <w:pPr>
        <w:pStyle w:val="Heading1"/>
        <w:rPr>
          <w:lang w:val="en-US"/>
        </w:rPr>
      </w:pPr>
      <w:r>
        <w:rPr>
          <w:lang w:val="en-US"/>
        </w:rPr>
        <w:t>Transient Loss of Consciousness: Syncope and Seizure</w:t>
      </w:r>
    </w:p>
    <w:p w14:paraId="1BE6FA04" w14:textId="1C4AD7EE" w:rsidR="00687939" w:rsidRDefault="00687939" w:rsidP="00687939">
      <w:pPr>
        <w:rPr>
          <w:lang w:val="en-US"/>
        </w:rPr>
      </w:pPr>
      <w:hyperlink r:id="rId9" w:history="1">
        <w:r w:rsidRPr="00687939">
          <w:rPr>
            <w:rStyle w:val="Hyperlink"/>
            <w:lang w:val="en-US"/>
          </w:rPr>
          <w:t xml:space="preserve">2018 </w:t>
        </w:r>
        <w:proofErr w:type="spellStart"/>
        <w:r w:rsidRPr="00687939">
          <w:rPr>
            <w:rStyle w:val="Hyperlink"/>
            <w:lang w:val="en-US"/>
          </w:rPr>
          <w:t>Brignole</w:t>
        </w:r>
        <w:proofErr w:type="spellEnd"/>
        <w:r w:rsidRPr="00687939">
          <w:rPr>
            <w:rStyle w:val="Hyperlink"/>
            <w:lang w:val="en-US"/>
          </w:rPr>
          <w:t xml:space="preserve"> </w:t>
        </w:r>
        <w:r w:rsidRPr="00687939">
          <w:rPr>
            <w:rStyle w:val="Hyperlink"/>
            <w:lang w:val="en-GB"/>
          </w:rPr>
          <w:t>ESC Guidelines for the diagnosis and management of syncope</w:t>
        </w:r>
      </w:hyperlink>
      <w:r>
        <w:rPr>
          <w:lang w:val="en-US"/>
        </w:rPr>
        <w:t xml:space="preserve"> </w:t>
      </w:r>
      <w:r w:rsidR="006B3D43">
        <w:rPr>
          <w:lang w:val="en-US"/>
        </w:rPr>
        <w:fldChar w:fldCharType="begin"/>
      </w:r>
      <w:r w:rsidR="006B3D43">
        <w:rPr>
          <w:lang w:val="en-US"/>
        </w:rPr>
        <w:instrText xml:space="preserve"> ADDIN EN.CITE &lt;EndNote&gt;&lt;Cite&gt;&lt;Author&gt;Brignole&lt;/Author&gt;&lt;Year&gt;2018&lt;/Year&gt;&lt;RecNum&gt;2351&lt;/RecNum&gt;&lt;DisplayText&gt;[2]&lt;/DisplayText&gt;&lt;record&gt;&lt;rec-number&gt;2351&lt;/rec-number&gt;&lt;foreign-keys&gt;&lt;key app="EN" db-id="5rd9tv29z5xd0revrw5xdxzy5w5zpd9tvz55" timestamp="1522655359"&gt;2351&lt;/key&gt;&lt;/foreign-keys&gt;&lt;ref-type name="Journal Article"&gt;17&lt;/ref-type&gt;&lt;contributors&gt;&lt;authors&gt;&lt;author&gt;Brignole, M.&lt;/author&gt;&lt;author&gt;Moya, A.&lt;/author&gt;&lt;author&gt;de Lange, F. J.&lt;/author&gt;&lt;author&gt;Deharo, J. C.&lt;/author&gt;&lt;author&gt;Elliott, P. M.&lt;/author&gt;&lt;author&gt;Fanciulli, A.&lt;/author&gt;&lt;author&gt;Fedorowski, A.&lt;/author&gt;&lt;author&gt;Furlan, R.&lt;/author&gt;&lt;author&gt;Kenny, R. A.&lt;/author&gt;&lt;author&gt;Martin, A.&lt;/author&gt;&lt;author&gt;Probst, V.&lt;/author&gt;&lt;author&gt;Reed, M. J.&lt;/author&gt;&lt;author&gt;Rice, C. P.&lt;/author&gt;&lt;author&gt;Sutton, R.&lt;/author&gt;&lt;author&gt;Ungar, A.&lt;/author&gt;&lt;author&gt;van Dijk, J. G.&lt;/author&gt;&lt;/authors&gt;&lt;/contributors&gt;&lt;titles&gt;&lt;title&gt;2018 ESC Guidelines for the diagnosis and management of syncope&lt;/title&gt;&lt;secondary-title&gt;Eur Heart J&lt;/secondary-title&gt;&lt;alt-title&gt;European heart journal&lt;/alt-title&gt;&lt;/titles&gt;&lt;periodical&gt;&lt;full-title&gt;Eur Heart J&lt;/full-title&gt;&lt;abbr-1&gt;European heart journal&lt;/abbr-1&gt;&lt;/periodical&gt;&lt;alt-periodical&gt;&lt;full-title&gt;Eur Heart J&lt;/full-title&gt;&lt;abbr-1&gt;European heart journal&lt;/abbr-1&gt;&lt;/alt-periodical&gt;&lt;edition&gt;2018/03/22&lt;/edition&gt;&lt;dates&gt;&lt;year&gt;2018&lt;/year&gt;&lt;pub-dates&gt;&lt;date&gt;Mar 19&lt;/date&gt;&lt;/pub-dates&gt;&lt;/dates&gt;&lt;isbn&gt;0195-668x&lt;/isbn&gt;&lt;accession-num&gt;29562304&lt;/accession-num&gt;&lt;urls&gt;&lt;/urls&gt;&lt;electronic-resource-num&gt;10.1093/eurheartj/ehy037&lt;/electronic-resource-num&gt;&lt;remote-database-provider&gt;NLM&lt;/remote-database-provider&gt;&lt;language&gt;eng&lt;/language&gt;&lt;/record&gt;&lt;/Cite&gt;&lt;/EndNote&gt;</w:instrText>
      </w:r>
      <w:r w:rsidR="006B3D43">
        <w:rPr>
          <w:lang w:val="en-US"/>
        </w:rPr>
        <w:fldChar w:fldCharType="separate"/>
      </w:r>
      <w:r w:rsidR="006B3D43">
        <w:rPr>
          <w:noProof/>
          <w:lang w:val="en-US"/>
        </w:rPr>
        <w:t>[</w:t>
      </w:r>
      <w:hyperlink w:anchor="_ENREF_2" w:tooltip="Brignole, 2018 #2351" w:history="1">
        <w:r w:rsidR="006B3D43">
          <w:rPr>
            <w:noProof/>
            <w:lang w:val="en-US"/>
          </w:rPr>
          <w:t>2</w:t>
        </w:r>
      </w:hyperlink>
      <w:r w:rsidR="006B3D43">
        <w:rPr>
          <w:noProof/>
          <w:lang w:val="en-US"/>
        </w:rPr>
        <w:t>]</w:t>
      </w:r>
      <w:r w:rsidR="006B3D43">
        <w:rPr>
          <w:lang w:val="en-US"/>
        </w:rPr>
        <w:fldChar w:fldCharType="end"/>
      </w:r>
    </w:p>
    <w:p w14:paraId="4EFA6981" w14:textId="2F9ABE7F" w:rsidR="00A03012" w:rsidRPr="00A03012" w:rsidRDefault="00795AC3" w:rsidP="00A03012">
      <w:hyperlink r:id="rId10" w:history="1">
        <w:r w:rsidRPr="00795AC3">
          <w:rPr>
            <w:rStyle w:val="Hyperlink"/>
          </w:rPr>
          <w:t>2022 Syncope Simplified</w:t>
        </w:r>
      </w:hyperlink>
      <w:r>
        <w:t xml:space="preserve"> </w:t>
      </w:r>
      <w:r w:rsidR="006B3D43">
        <w:fldChar w:fldCharType="begin"/>
      </w:r>
      <w:r w:rsidR="006B3D43">
        <w:instrText xml:space="preserve"> ADDIN EN.CITE &lt;EndNote&gt;&lt;Cite&gt;&lt;Author&gt;Helman&lt;/Author&gt;&lt;Year&gt;2022&lt;/Year&gt;&lt;RecNum&gt;4233&lt;/RecNum&gt;&lt;DisplayText&gt;[3]&lt;/DisplayText&gt;&lt;record&gt;&lt;rec-number&gt;4233&lt;/rec-number&gt;&lt;foreign-keys&gt;&lt;key app="EN" db-id="5rd9tv29z5xd0revrw5xdxzy5w5zpd9tvz55" timestamp="1731908110"&gt;4233&lt;/key&gt;&lt;/foreign-keys&gt;&lt;ref-type name="Podcast"&gt;62&lt;/ref-type&gt;&lt;contributors&gt;&lt;authors&gt;&lt;author&gt;Helman, A.&lt;/author&gt;&lt;author&gt;Carr, D.&lt;/author&gt;&lt;/authors&gt;&lt;/contributors&gt;&lt;titles&gt;&lt;title&gt;Syncope Simplified&lt;/title&gt;&lt;secondary-title&gt;Emergency Medicine Cases&lt;/secondary-title&gt;&lt;/titles&gt;&lt;periodical&gt;&lt;full-title&gt;Emergency Medicine Cases&lt;/full-title&gt;&lt;/periodical&gt;&lt;dates&gt;&lt;year&gt;2022&lt;/year&gt;&lt;pub-dates&gt;&lt;date&gt;August, 2022&lt;/date&gt;&lt;/pub-dates&gt;&lt;/dates&gt;&lt;pub-location&gt;https://emergencymedicinecases.com/simplifying-syncope&lt;/pub-location&gt;&lt;urls&gt;&lt;/urls&gt;&lt;access-date&gt;Accessed November 18, 2024&lt;/access-date&gt;&lt;/record&gt;&lt;/Cite&gt;&lt;/EndNote&gt;</w:instrText>
      </w:r>
      <w:r w:rsidR="006B3D43">
        <w:fldChar w:fldCharType="separate"/>
      </w:r>
      <w:r w:rsidR="006B3D43">
        <w:rPr>
          <w:noProof/>
        </w:rPr>
        <w:t>[</w:t>
      </w:r>
      <w:hyperlink w:anchor="_ENREF_3" w:tooltip="Helman, 2022 #4233" w:history="1">
        <w:r w:rsidR="006B3D43">
          <w:rPr>
            <w:noProof/>
          </w:rPr>
          <w:t>3</w:t>
        </w:r>
      </w:hyperlink>
      <w:r w:rsidR="006B3D43">
        <w:rPr>
          <w:noProof/>
        </w:rPr>
        <w:t>]</w:t>
      </w:r>
      <w:r w:rsidR="006B3D43">
        <w:fldChar w:fldCharType="end"/>
      </w:r>
    </w:p>
    <w:p w14:paraId="542C28EF" w14:textId="77777777" w:rsidR="00A03012" w:rsidRPr="00A03012" w:rsidRDefault="00A03012" w:rsidP="00687939"/>
    <w:p w14:paraId="43C26191" w14:textId="2CC0556A" w:rsidR="00836C09" w:rsidRPr="00911A39" w:rsidRDefault="00687939" w:rsidP="00836C09">
      <w:pPr>
        <w:pStyle w:val="Heading1"/>
        <w:rPr>
          <w:lang w:val="en-US"/>
        </w:rPr>
      </w:pPr>
      <w:r>
        <w:rPr>
          <w:lang w:val="en-US"/>
        </w:rPr>
        <w:t>Headache</w:t>
      </w:r>
    </w:p>
    <w:p w14:paraId="122C59BF" w14:textId="19352625" w:rsidR="00795AC3" w:rsidRPr="00A03012" w:rsidRDefault="00795AC3" w:rsidP="00687939">
      <w:pPr>
        <w:rPr>
          <w:lang w:val="en-US"/>
        </w:rPr>
      </w:pPr>
      <w:hyperlink r:id="rId11" w:history="1">
        <w:r w:rsidRPr="00795AC3">
          <w:rPr>
            <w:rStyle w:val="Hyperlink"/>
            <w:lang w:val="en-US"/>
          </w:rPr>
          <w:t xml:space="preserve">2024 </w:t>
        </w:r>
        <w:r w:rsidRPr="00795AC3">
          <w:rPr>
            <w:rStyle w:val="Hyperlink"/>
            <w:lang w:val="en-GB"/>
          </w:rPr>
          <w:t xml:space="preserve">Subarachnoid </w:t>
        </w:r>
        <w:proofErr w:type="spellStart"/>
        <w:r w:rsidRPr="00795AC3">
          <w:rPr>
            <w:rStyle w:val="Hyperlink"/>
            <w:lang w:val="en-GB"/>
          </w:rPr>
          <w:t>Hemorrhage</w:t>
        </w:r>
        <w:proofErr w:type="spellEnd"/>
        <w:r w:rsidRPr="00795AC3">
          <w:rPr>
            <w:rStyle w:val="Hyperlink"/>
            <w:lang w:val="en-GB"/>
          </w:rPr>
          <w:t xml:space="preserve"> Recognition, Workup and Diagnosis</w:t>
        </w:r>
      </w:hyperlink>
      <w:r>
        <w:rPr>
          <w:lang w:val="en-GB"/>
        </w:rPr>
        <w:t xml:space="preserve"> </w:t>
      </w:r>
      <w:r w:rsidR="006B3D43">
        <w:rPr>
          <w:lang w:val="en-US"/>
        </w:rPr>
        <w:fldChar w:fldCharType="begin"/>
      </w:r>
      <w:r w:rsidR="006B3D43">
        <w:rPr>
          <w:lang w:val="en-US"/>
        </w:rPr>
        <w:instrText xml:space="preserve"> ADDIN EN.CITE &lt;EndNote&gt;&lt;Cite&gt;&lt;Author&gt;Helman&lt;/Author&gt;&lt;Year&gt;2024&lt;/Year&gt;&lt;RecNum&gt;4195&lt;/RecNum&gt;&lt;DisplayText&gt;[4]&lt;/DisplayText&gt;&lt;record&gt;&lt;rec-number&gt;4195&lt;/rec-number&gt;&lt;foreign-keys&gt;&lt;key app="EN" db-id="5rd9tv29z5xd0revrw5xdxzy5w5zpd9tvz55" timestamp="1722890409"&gt;4195&lt;/key&gt;&lt;/foreign-keys&gt;&lt;ref-type name="Podcast"&gt;62&lt;/ref-type&gt;&lt;contributors&gt;&lt;authors&gt;&lt;author&gt;Helman, A.&lt;/author&gt;&lt;author&gt;Lin, K.&lt;/author&gt;&lt;author&gt;Perry, J.&lt;/author&gt;&lt;/authors&gt;&lt;secondary-authors&gt;&lt;author&gt;Helman, A.&lt;/author&gt;&lt;/secondary-authors&gt;&lt;/contributors&gt;&lt;titles&gt;&lt;title&gt;Episode 194 Subarachnoid Hemorrhage Recognition, Workup and Diagnosis. Emergency Medicine Cases.&lt;/title&gt;&lt;/titles&gt;&lt;dates&gt;&lt;year&gt;2024&lt;/year&gt;&lt;/dates&gt;&lt;pub-location&gt;https://emergencymedicinecases.com/subarachnoid-hemorrhage-recognition-workup-diagnosis&lt;/pub-location&gt;&lt;urls&gt;&lt;/urls&gt;&lt;access-date&gt; Accessed August 5, 2024&lt;/access-date&gt;&lt;/record&gt;&lt;/Cite&gt;&lt;/EndNote&gt;</w:instrText>
      </w:r>
      <w:r w:rsidR="006B3D43">
        <w:rPr>
          <w:lang w:val="en-US"/>
        </w:rPr>
        <w:fldChar w:fldCharType="separate"/>
      </w:r>
      <w:r w:rsidR="006B3D43">
        <w:rPr>
          <w:noProof/>
          <w:lang w:val="en-US"/>
        </w:rPr>
        <w:t>[</w:t>
      </w:r>
      <w:hyperlink w:anchor="_ENREF_4" w:tooltip="Helman, 2024 #4195" w:history="1">
        <w:r w:rsidR="006B3D43">
          <w:rPr>
            <w:noProof/>
            <w:lang w:val="en-US"/>
          </w:rPr>
          <w:t>4</w:t>
        </w:r>
      </w:hyperlink>
      <w:r w:rsidR="006B3D43">
        <w:rPr>
          <w:noProof/>
          <w:lang w:val="en-US"/>
        </w:rPr>
        <w:t>]</w:t>
      </w:r>
      <w:r w:rsidR="006B3D43">
        <w:rPr>
          <w:lang w:val="en-US"/>
        </w:rPr>
        <w:fldChar w:fldCharType="end"/>
      </w:r>
    </w:p>
    <w:p w14:paraId="28D9EC98" w14:textId="77777777" w:rsidR="00BA3F9F" w:rsidRPr="0021278B" w:rsidRDefault="00BA3F9F" w:rsidP="00836C09">
      <w:pPr>
        <w:pStyle w:val="Heading1"/>
        <w:rPr>
          <w:lang w:val="en-US"/>
        </w:rPr>
      </w:pPr>
    </w:p>
    <w:p w14:paraId="5A5A375D" w14:textId="1273F1AC" w:rsidR="006B3D43" w:rsidRDefault="00BF2DE7" w:rsidP="00836C09">
      <w:pPr>
        <w:pStyle w:val="Heading1"/>
        <w:rPr>
          <w:lang w:val="en-US"/>
        </w:rPr>
      </w:pPr>
      <w:bookmarkStart w:id="0" w:name="_Toc316651606"/>
      <w:bookmarkStart w:id="1" w:name="_Toc317260876"/>
      <w:bookmarkStart w:id="2" w:name="_Toc317262107"/>
      <w:bookmarkStart w:id="3" w:name="_Toc317354362"/>
      <w:bookmarkStart w:id="4" w:name="_Toc368680659"/>
      <w:bookmarkStart w:id="5" w:name="_Toc368680712"/>
      <w:bookmarkStart w:id="6" w:name="_Toc368680921"/>
      <w:bookmarkStart w:id="7" w:name="_Toc49074160"/>
      <w:bookmarkStart w:id="8" w:name="_Toc49677738"/>
      <w:r w:rsidRPr="0021278B">
        <w:rPr>
          <w:lang w:val="en-US"/>
        </w:rPr>
        <w:t>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BA3F9F" w:rsidRPr="0021278B">
        <w:rPr>
          <w:lang w:val="en-US"/>
        </w:rPr>
        <w:t>eferences</w:t>
      </w:r>
    </w:p>
    <w:p w14:paraId="61A12FD4" w14:textId="77777777" w:rsidR="006B3D43" w:rsidRPr="006B3D43" w:rsidRDefault="006B3D43" w:rsidP="006B3D43">
      <w:pPr>
        <w:pStyle w:val="EndNoteBibliography"/>
        <w:ind w:left="720" w:hanging="720"/>
        <w:rPr>
          <w:noProof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ADDIN EN.REFLIST </w:instrText>
      </w:r>
      <w:r>
        <w:rPr>
          <w:lang w:val="en-US"/>
        </w:rPr>
        <w:fldChar w:fldCharType="separate"/>
      </w:r>
      <w:bookmarkStart w:id="9" w:name="_ENREF_1"/>
      <w:r w:rsidRPr="006B3D43">
        <w:rPr>
          <w:noProof/>
        </w:rPr>
        <w:t>1.</w:t>
      </w:r>
      <w:r w:rsidRPr="006B3D43">
        <w:rPr>
          <w:noProof/>
        </w:rPr>
        <w:tab/>
        <w:t xml:space="preserve">El Ali, J., et al., </w:t>
      </w:r>
      <w:r w:rsidRPr="006B3D43">
        <w:rPr>
          <w:i/>
          <w:noProof/>
        </w:rPr>
        <w:t>[Management of patients with altered mental status in the Emergency Department].</w:t>
      </w:r>
      <w:r w:rsidRPr="006B3D43">
        <w:rPr>
          <w:noProof/>
        </w:rPr>
        <w:t xml:space="preserve"> Lakartidningen, 2024. </w:t>
      </w:r>
      <w:r w:rsidRPr="006B3D43">
        <w:rPr>
          <w:b/>
          <w:noProof/>
        </w:rPr>
        <w:t>121</w:t>
      </w:r>
      <w:r w:rsidRPr="006B3D43">
        <w:rPr>
          <w:noProof/>
        </w:rPr>
        <w:t>.</w:t>
      </w:r>
      <w:bookmarkEnd w:id="9"/>
    </w:p>
    <w:p w14:paraId="5559A1BA" w14:textId="77777777" w:rsidR="006B3D43" w:rsidRPr="006B3D43" w:rsidRDefault="006B3D43" w:rsidP="006B3D43">
      <w:pPr>
        <w:pStyle w:val="EndNoteBibliography"/>
        <w:ind w:left="720" w:hanging="720"/>
        <w:rPr>
          <w:noProof/>
        </w:rPr>
      </w:pPr>
      <w:bookmarkStart w:id="10" w:name="_ENREF_2"/>
      <w:r w:rsidRPr="006B3D43">
        <w:rPr>
          <w:noProof/>
        </w:rPr>
        <w:t>2.</w:t>
      </w:r>
      <w:r w:rsidRPr="006B3D43">
        <w:rPr>
          <w:noProof/>
        </w:rPr>
        <w:tab/>
        <w:t xml:space="preserve">Brignole, M., et al., </w:t>
      </w:r>
      <w:r w:rsidRPr="006B3D43">
        <w:rPr>
          <w:i/>
          <w:noProof/>
        </w:rPr>
        <w:t>2018 ESC Guidelines for the diagnosis and management of syncope.</w:t>
      </w:r>
      <w:r w:rsidRPr="006B3D43">
        <w:rPr>
          <w:noProof/>
        </w:rPr>
        <w:t xml:space="preserve"> Eur Heart J, 2018.</w:t>
      </w:r>
      <w:bookmarkEnd w:id="10"/>
    </w:p>
    <w:p w14:paraId="2C4730A4" w14:textId="13D4297B" w:rsidR="006B3D43" w:rsidRPr="006B3D43" w:rsidRDefault="006B3D43" w:rsidP="006B3D43">
      <w:pPr>
        <w:pStyle w:val="EndNoteBibliography"/>
        <w:ind w:left="720" w:hanging="720"/>
        <w:rPr>
          <w:noProof/>
        </w:rPr>
      </w:pPr>
      <w:bookmarkStart w:id="11" w:name="_ENREF_3"/>
      <w:r w:rsidRPr="006B3D43">
        <w:rPr>
          <w:noProof/>
        </w:rPr>
        <w:t>3.</w:t>
      </w:r>
      <w:r w:rsidRPr="006B3D43">
        <w:rPr>
          <w:noProof/>
        </w:rPr>
        <w:tab/>
        <w:t xml:space="preserve">Helman, A. and D. Carr, </w:t>
      </w:r>
      <w:r w:rsidRPr="006B3D43">
        <w:rPr>
          <w:i/>
          <w:noProof/>
        </w:rPr>
        <w:t>Syncope Simplified</w:t>
      </w:r>
      <w:r w:rsidRPr="006B3D43">
        <w:rPr>
          <w:noProof/>
        </w:rPr>
        <w:t xml:space="preserve">, in </w:t>
      </w:r>
      <w:r w:rsidRPr="006B3D43">
        <w:rPr>
          <w:i/>
          <w:noProof/>
        </w:rPr>
        <w:t>Emergency Medicine Cases</w:t>
      </w:r>
      <w:r w:rsidRPr="006B3D43">
        <w:rPr>
          <w:noProof/>
        </w:rPr>
        <w:t xml:space="preserve">. 2022: </w:t>
      </w:r>
      <w:hyperlink r:id="rId12" w:history="1">
        <w:r w:rsidRPr="006B3D43">
          <w:rPr>
            <w:rStyle w:val="Hyperlink"/>
            <w:noProof/>
          </w:rPr>
          <w:t>https://emergencymedicinecases.com/simplifying-syncope</w:t>
        </w:r>
      </w:hyperlink>
      <w:r w:rsidRPr="006B3D43">
        <w:rPr>
          <w:noProof/>
        </w:rPr>
        <w:t>.</w:t>
      </w:r>
      <w:bookmarkEnd w:id="11"/>
    </w:p>
    <w:p w14:paraId="012FEF66" w14:textId="6C69080D" w:rsidR="006B3D43" w:rsidRPr="006B3D43" w:rsidRDefault="006B3D43" w:rsidP="006B3D43">
      <w:pPr>
        <w:pStyle w:val="EndNoteBibliography"/>
        <w:ind w:left="720" w:hanging="720"/>
        <w:rPr>
          <w:noProof/>
        </w:rPr>
      </w:pPr>
      <w:bookmarkStart w:id="12" w:name="_ENREF_4"/>
      <w:r w:rsidRPr="006B3D43">
        <w:rPr>
          <w:noProof/>
        </w:rPr>
        <w:t>4.</w:t>
      </w:r>
      <w:r w:rsidRPr="006B3D43">
        <w:rPr>
          <w:noProof/>
        </w:rPr>
        <w:tab/>
        <w:t xml:space="preserve">Helman, A., K. Lin, and J. Perry, </w:t>
      </w:r>
      <w:r w:rsidRPr="006B3D43">
        <w:rPr>
          <w:i/>
          <w:noProof/>
        </w:rPr>
        <w:t>Episode 194 Subarachnoid Hemorrhage Recognition, Workup and Diagnosis. Emergency Medicine Cases.</w:t>
      </w:r>
      <w:r w:rsidRPr="006B3D43">
        <w:rPr>
          <w:noProof/>
        </w:rPr>
        <w:t xml:space="preserve">, A. Helman, Editor. 2024: </w:t>
      </w:r>
      <w:hyperlink r:id="rId13" w:history="1">
        <w:r w:rsidRPr="006B3D43">
          <w:rPr>
            <w:rStyle w:val="Hyperlink"/>
            <w:noProof/>
          </w:rPr>
          <w:t>https://emergencymedicinecases.com/subarachnoid-hemorrhage-recognition-workup-diagnosis</w:t>
        </w:r>
      </w:hyperlink>
      <w:r w:rsidRPr="006B3D43">
        <w:rPr>
          <w:noProof/>
        </w:rPr>
        <w:t>.</w:t>
      </w:r>
      <w:bookmarkEnd w:id="12"/>
    </w:p>
    <w:p w14:paraId="3EE59A05" w14:textId="26861713" w:rsidR="00FA79EF" w:rsidRPr="0021278B" w:rsidRDefault="006B3D43" w:rsidP="00836C09">
      <w:pPr>
        <w:pStyle w:val="Heading1"/>
        <w:rPr>
          <w:lang w:val="en-US"/>
        </w:rPr>
      </w:pPr>
      <w:r>
        <w:rPr>
          <w:lang w:val="en-US"/>
        </w:rPr>
        <w:fldChar w:fldCharType="end"/>
      </w:r>
    </w:p>
    <w:sectPr w:rsidR="00FA79EF" w:rsidRPr="0021278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C2C5B" w14:textId="77777777" w:rsidR="00392E23" w:rsidRDefault="00392E23" w:rsidP="00BA1667">
      <w:r>
        <w:separator/>
      </w:r>
    </w:p>
  </w:endnote>
  <w:endnote w:type="continuationSeparator" w:id="0">
    <w:p w14:paraId="148FD7EB" w14:textId="77777777" w:rsidR="00392E23" w:rsidRDefault="00392E23" w:rsidP="00BA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50D1" w14:textId="77777777" w:rsidR="0030697C" w:rsidRPr="009A054E" w:rsidRDefault="0030697C" w:rsidP="00BA1667">
    <w:pPr>
      <w:pStyle w:val="Footer"/>
      <w:jc w:val="center"/>
      <w:rPr>
        <w:rFonts w:ascii="Times" w:hAnsi="Times"/>
      </w:rPr>
    </w:pPr>
    <w:r w:rsidRPr="009A054E">
      <w:rPr>
        <w:rFonts w:ascii="Times" w:hAnsi="Times"/>
      </w:rPr>
      <w:t>Eric Dryver, SUS Lund</w:t>
    </w:r>
  </w:p>
  <w:p w14:paraId="40152C68" w14:textId="77777777" w:rsidR="0030697C" w:rsidRPr="009A054E" w:rsidRDefault="0030697C" w:rsidP="00BA1667">
    <w:pPr>
      <w:pStyle w:val="Footer"/>
      <w:jc w:val="center"/>
      <w:rPr>
        <w:rFonts w:ascii="Times" w:hAnsi="Times"/>
      </w:rPr>
    </w:pPr>
    <w:r w:rsidRPr="009A054E">
      <w:rPr>
        <w:rFonts w:ascii="Times" w:hAnsi="Times"/>
      </w:rPr>
      <w:t xml:space="preserve">- </w:t>
    </w:r>
    <w:r w:rsidRPr="009A054E">
      <w:rPr>
        <w:rStyle w:val="PageNumber"/>
      </w:rPr>
      <w:fldChar w:fldCharType="begin"/>
    </w:r>
    <w:r w:rsidRPr="009A054E">
      <w:rPr>
        <w:rStyle w:val="PageNumber"/>
        <w:rFonts w:ascii="Times" w:hAnsi="Times"/>
      </w:rPr>
      <w:instrText xml:space="preserve"> PAGE </w:instrText>
    </w:r>
    <w:r w:rsidRPr="009A054E">
      <w:rPr>
        <w:rStyle w:val="PageNumber"/>
      </w:rPr>
      <w:fldChar w:fldCharType="separate"/>
    </w:r>
    <w:r>
      <w:rPr>
        <w:rStyle w:val="PageNumber"/>
        <w:rFonts w:ascii="Times" w:hAnsi="Times"/>
        <w:noProof/>
      </w:rPr>
      <w:t>2</w:t>
    </w:r>
    <w:r w:rsidRPr="009A054E">
      <w:rPr>
        <w:rStyle w:val="PageNumber"/>
      </w:rPr>
      <w:fldChar w:fldCharType="end"/>
    </w:r>
    <w:r w:rsidRPr="009A054E">
      <w:rPr>
        <w:rStyle w:val="PageNumber"/>
        <w:rFonts w:ascii="Times" w:hAnsi="Times"/>
      </w:rPr>
      <w:t xml:space="preserve"> -</w:t>
    </w:r>
  </w:p>
  <w:p w14:paraId="1D827D0B" w14:textId="77777777" w:rsidR="0030697C" w:rsidRDefault="00306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DBF69" w14:textId="77777777" w:rsidR="00392E23" w:rsidRDefault="00392E23" w:rsidP="00BA1667">
      <w:r>
        <w:separator/>
      </w:r>
    </w:p>
  </w:footnote>
  <w:footnote w:type="continuationSeparator" w:id="0">
    <w:p w14:paraId="6A9434FA" w14:textId="77777777" w:rsidR="00392E23" w:rsidRDefault="00392E23" w:rsidP="00BA1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B126F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EE06F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887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DA08D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A8A1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C38A6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8A20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C6008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60A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CE24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11A0C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D8538C2"/>
    <w:multiLevelType w:val="multilevel"/>
    <w:tmpl w:val="4ACA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353718"/>
    <w:multiLevelType w:val="multilevel"/>
    <w:tmpl w:val="A9B2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901CF5"/>
    <w:multiLevelType w:val="hybridMultilevel"/>
    <w:tmpl w:val="3D0206C4"/>
    <w:lvl w:ilvl="0" w:tplc="F16C81F6">
      <w:start w:val="1"/>
      <w:numFmt w:val="bullet"/>
      <w:pStyle w:val="ListBullet2"/>
      <w:lvlText w:val="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46474"/>
    <w:multiLevelType w:val="hybridMultilevel"/>
    <w:tmpl w:val="E3888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50086"/>
    <w:multiLevelType w:val="multilevel"/>
    <w:tmpl w:val="923C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967CD0"/>
    <w:multiLevelType w:val="hybridMultilevel"/>
    <w:tmpl w:val="FE745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91EBE"/>
    <w:multiLevelType w:val="hybridMultilevel"/>
    <w:tmpl w:val="2C2AA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C6AB6"/>
    <w:multiLevelType w:val="multilevel"/>
    <w:tmpl w:val="2B68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300A41"/>
    <w:multiLevelType w:val="multilevel"/>
    <w:tmpl w:val="1FC8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914FF4"/>
    <w:multiLevelType w:val="hybridMultilevel"/>
    <w:tmpl w:val="2264D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A0237"/>
    <w:multiLevelType w:val="hybridMultilevel"/>
    <w:tmpl w:val="2C66B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174EB"/>
    <w:multiLevelType w:val="multilevel"/>
    <w:tmpl w:val="563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AA4CF7"/>
    <w:multiLevelType w:val="hybridMultilevel"/>
    <w:tmpl w:val="91F6F03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B0794"/>
    <w:multiLevelType w:val="multilevel"/>
    <w:tmpl w:val="D7542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0C3390"/>
    <w:multiLevelType w:val="multilevel"/>
    <w:tmpl w:val="ADD2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963C87"/>
    <w:multiLevelType w:val="hybridMultilevel"/>
    <w:tmpl w:val="E54AE530"/>
    <w:lvl w:ilvl="0" w:tplc="D0CCAB16">
      <w:start w:val="1"/>
      <w:numFmt w:val="bullet"/>
      <w:pStyle w:val="Checkbox"/>
      <w:lvlText w:val="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6590381">
    <w:abstractNumId w:val="24"/>
  </w:num>
  <w:num w:numId="2" w16cid:durableId="920141190">
    <w:abstractNumId w:val="0"/>
  </w:num>
  <w:num w:numId="3" w16cid:durableId="558785026">
    <w:abstractNumId w:val="9"/>
  </w:num>
  <w:num w:numId="4" w16cid:durableId="938609930">
    <w:abstractNumId w:val="4"/>
  </w:num>
  <w:num w:numId="5" w16cid:durableId="784734454">
    <w:abstractNumId w:val="3"/>
  </w:num>
  <w:num w:numId="6" w16cid:durableId="1300499005">
    <w:abstractNumId w:val="2"/>
  </w:num>
  <w:num w:numId="7" w16cid:durableId="846598288">
    <w:abstractNumId w:val="1"/>
  </w:num>
  <w:num w:numId="8" w16cid:durableId="1190724441">
    <w:abstractNumId w:val="10"/>
  </w:num>
  <w:num w:numId="9" w16cid:durableId="723677456">
    <w:abstractNumId w:val="8"/>
  </w:num>
  <w:num w:numId="10" w16cid:durableId="796295145">
    <w:abstractNumId w:val="7"/>
  </w:num>
  <w:num w:numId="11" w16cid:durableId="1906649602">
    <w:abstractNumId w:val="6"/>
  </w:num>
  <w:num w:numId="12" w16cid:durableId="754059915">
    <w:abstractNumId w:val="5"/>
  </w:num>
  <w:num w:numId="13" w16cid:durableId="114059850">
    <w:abstractNumId w:val="14"/>
  </w:num>
  <w:num w:numId="14" w16cid:durableId="1427924133">
    <w:abstractNumId w:val="11"/>
  </w:num>
  <w:num w:numId="15" w16cid:durableId="518741332">
    <w:abstractNumId w:val="13"/>
  </w:num>
  <w:num w:numId="16" w16cid:durableId="1961960092">
    <w:abstractNumId w:val="12"/>
  </w:num>
  <w:num w:numId="17" w16cid:durableId="1235315682">
    <w:abstractNumId w:val="21"/>
  </w:num>
  <w:num w:numId="18" w16cid:durableId="533543599">
    <w:abstractNumId w:val="23"/>
  </w:num>
  <w:num w:numId="19" w16cid:durableId="2072340921">
    <w:abstractNumId w:val="22"/>
  </w:num>
  <w:num w:numId="20" w16cid:durableId="1413771685">
    <w:abstractNumId w:val="17"/>
  </w:num>
  <w:num w:numId="21" w16cid:durableId="1449349123">
    <w:abstractNumId w:val="18"/>
  </w:num>
  <w:num w:numId="22" w16cid:durableId="1041705502">
    <w:abstractNumId w:val="25"/>
  </w:num>
  <w:num w:numId="23" w16cid:durableId="1184704360">
    <w:abstractNumId w:val="19"/>
  </w:num>
  <w:num w:numId="24" w16cid:durableId="1957910731">
    <w:abstractNumId w:val="16"/>
  </w:num>
  <w:num w:numId="25" w16cid:durableId="1243687575">
    <w:abstractNumId w:val="26"/>
  </w:num>
  <w:num w:numId="26" w16cid:durableId="260336508">
    <w:abstractNumId w:val="20"/>
  </w:num>
  <w:num w:numId="27" w16cid:durableId="1992363511">
    <w:abstractNumId w:val="15"/>
  </w:num>
  <w:num w:numId="28" w16cid:durableId="8757789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rd9tv29z5xd0revrw5xdxzy5w5zpd9tvz55&quot;&gt;Eric&amp;apos;s EndNote Library 200823-Converted&lt;record-ids&gt;&lt;item&gt;2351&lt;/item&gt;&lt;item&gt;4195&lt;/item&gt;&lt;item&gt;4232&lt;/item&gt;&lt;item&gt;4233&lt;/item&gt;&lt;/record-ids&gt;&lt;/item&gt;&lt;/Libraries&gt;"/>
  </w:docVars>
  <w:rsids>
    <w:rsidRoot w:val="00AD788F"/>
    <w:rsid w:val="00002644"/>
    <w:rsid w:val="0000289A"/>
    <w:rsid w:val="00003216"/>
    <w:rsid w:val="00003B24"/>
    <w:rsid w:val="00005389"/>
    <w:rsid w:val="00006370"/>
    <w:rsid w:val="00014B3B"/>
    <w:rsid w:val="00021489"/>
    <w:rsid w:val="000250E0"/>
    <w:rsid w:val="00032855"/>
    <w:rsid w:val="00037ED4"/>
    <w:rsid w:val="00042CD2"/>
    <w:rsid w:val="00047ACD"/>
    <w:rsid w:val="00051A50"/>
    <w:rsid w:val="0005398B"/>
    <w:rsid w:val="000601F6"/>
    <w:rsid w:val="00065B85"/>
    <w:rsid w:val="000663EF"/>
    <w:rsid w:val="00072321"/>
    <w:rsid w:val="00074300"/>
    <w:rsid w:val="0007709E"/>
    <w:rsid w:val="00077AEE"/>
    <w:rsid w:val="00077CCF"/>
    <w:rsid w:val="00080C8C"/>
    <w:rsid w:val="00081B25"/>
    <w:rsid w:val="00083B9F"/>
    <w:rsid w:val="00091185"/>
    <w:rsid w:val="000935EB"/>
    <w:rsid w:val="000A0DAE"/>
    <w:rsid w:val="000A61BB"/>
    <w:rsid w:val="000B0DD1"/>
    <w:rsid w:val="000B7BD2"/>
    <w:rsid w:val="000C39C2"/>
    <w:rsid w:val="000D0EF2"/>
    <w:rsid w:val="000D665A"/>
    <w:rsid w:val="000E36A8"/>
    <w:rsid w:val="000F53CA"/>
    <w:rsid w:val="000F55C9"/>
    <w:rsid w:val="00102852"/>
    <w:rsid w:val="00103F0C"/>
    <w:rsid w:val="0011184C"/>
    <w:rsid w:val="0011223B"/>
    <w:rsid w:val="001134E6"/>
    <w:rsid w:val="001147BE"/>
    <w:rsid w:val="00121D94"/>
    <w:rsid w:val="001466B4"/>
    <w:rsid w:val="0015469D"/>
    <w:rsid w:val="00170530"/>
    <w:rsid w:val="001711B5"/>
    <w:rsid w:val="0017213D"/>
    <w:rsid w:val="001763F3"/>
    <w:rsid w:val="0018085C"/>
    <w:rsid w:val="00186207"/>
    <w:rsid w:val="001922D5"/>
    <w:rsid w:val="001A0378"/>
    <w:rsid w:val="001A6595"/>
    <w:rsid w:val="001C044F"/>
    <w:rsid w:val="001C1BB7"/>
    <w:rsid w:val="001D023B"/>
    <w:rsid w:val="001D10B4"/>
    <w:rsid w:val="001D5162"/>
    <w:rsid w:val="001E2A47"/>
    <w:rsid w:val="001F2701"/>
    <w:rsid w:val="001F4F66"/>
    <w:rsid w:val="001F506C"/>
    <w:rsid w:val="00202F2E"/>
    <w:rsid w:val="00211751"/>
    <w:rsid w:val="002124B5"/>
    <w:rsid w:val="0021278B"/>
    <w:rsid w:val="00223C48"/>
    <w:rsid w:val="002352BE"/>
    <w:rsid w:val="00236ADB"/>
    <w:rsid w:val="002372A4"/>
    <w:rsid w:val="0024119F"/>
    <w:rsid w:val="002440A3"/>
    <w:rsid w:val="002443F3"/>
    <w:rsid w:val="00253EAD"/>
    <w:rsid w:val="00257622"/>
    <w:rsid w:val="00263C60"/>
    <w:rsid w:val="00266151"/>
    <w:rsid w:val="0027158E"/>
    <w:rsid w:val="0027331A"/>
    <w:rsid w:val="00276009"/>
    <w:rsid w:val="0028246B"/>
    <w:rsid w:val="00285920"/>
    <w:rsid w:val="00285EEF"/>
    <w:rsid w:val="00292D1E"/>
    <w:rsid w:val="00293224"/>
    <w:rsid w:val="00293BCF"/>
    <w:rsid w:val="002974F3"/>
    <w:rsid w:val="002A1129"/>
    <w:rsid w:val="002A2186"/>
    <w:rsid w:val="002B2B05"/>
    <w:rsid w:val="002B70E8"/>
    <w:rsid w:val="002C275D"/>
    <w:rsid w:val="002D65BC"/>
    <w:rsid w:val="002E386E"/>
    <w:rsid w:val="002E3C5A"/>
    <w:rsid w:val="002E6A26"/>
    <w:rsid w:val="00305E86"/>
    <w:rsid w:val="003068D4"/>
    <w:rsid w:val="0030697C"/>
    <w:rsid w:val="00311994"/>
    <w:rsid w:val="00315227"/>
    <w:rsid w:val="00315BDA"/>
    <w:rsid w:val="00315C30"/>
    <w:rsid w:val="003171C6"/>
    <w:rsid w:val="0032156E"/>
    <w:rsid w:val="00322C7D"/>
    <w:rsid w:val="00333753"/>
    <w:rsid w:val="00333CCA"/>
    <w:rsid w:val="003377E4"/>
    <w:rsid w:val="00337C43"/>
    <w:rsid w:val="00340403"/>
    <w:rsid w:val="00343F22"/>
    <w:rsid w:val="00346216"/>
    <w:rsid w:val="00350D5A"/>
    <w:rsid w:val="00351556"/>
    <w:rsid w:val="003554BA"/>
    <w:rsid w:val="003675C9"/>
    <w:rsid w:val="00373594"/>
    <w:rsid w:val="00375AD0"/>
    <w:rsid w:val="003772C4"/>
    <w:rsid w:val="003816CB"/>
    <w:rsid w:val="0038172D"/>
    <w:rsid w:val="0038653B"/>
    <w:rsid w:val="0038730C"/>
    <w:rsid w:val="00392E23"/>
    <w:rsid w:val="00393892"/>
    <w:rsid w:val="00395F50"/>
    <w:rsid w:val="003A35D8"/>
    <w:rsid w:val="003A6707"/>
    <w:rsid w:val="003B0990"/>
    <w:rsid w:val="003D627F"/>
    <w:rsid w:val="003E399D"/>
    <w:rsid w:val="003E58BF"/>
    <w:rsid w:val="003F55A3"/>
    <w:rsid w:val="00402774"/>
    <w:rsid w:val="00405A6B"/>
    <w:rsid w:val="0041440B"/>
    <w:rsid w:val="0041651D"/>
    <w:rsid w:val="0042768C"/>
    <w:rsid w:val="00434BC3"/>
    <w:rsid w:val="00445971"/>
    <w:rsid w:val="00460590"/>
    <w:rsid w:val="00476856"/>
    <w:rsid w:val="00490F61"/>
    <w:rsid w:val="004923F4"/>
    <w:rsid w:val="004A3ED1"/>
    <w:rsid w:val="004A5BAB"/>
    <w:rsid w:val="004B1748"/>
    <w:rsid w:val="004D3BE4"/>
    <w:rsid w:val="004D3EBF"/>
    <w:rsid w:val="004D723A"/>
    <w:rsid w:val="004E3104"/>
    <w:rsid w:val="004E65C4"/>
    <w:rsid w:val="004E74AD"/>
    <w:rsid w:val="004F0C12"/>
    <w:rsid w:val="004F37F2"/>
    <w:rsid w:val="004F3DDB"/>
    <w:rsid w:val="0050146F"/>
    <w:rsid w:val="005031D4"/>
    <w:rsid w:val="00503C54"/>
    <w:rsid w:val="005116DC"/>
    <w:rsid w:val="00514BF0"/>
    <w:rsid w:val="00516F03"/>
    <w:rsid w:val="00521ECC"/>
    <w:rsid w:val="0052292F"/>
    <w:rsid w:val="00537AF6"/>
    <w:rsid w:val="005468FD"/>
    <w:rsid w:val="00550CCE"/>
    <w:rsid w:val="00553B8D"/>
    <w:rsid w:val="00574683"/>
    <w:rsid w:val="00577852"/>
    <w:rsid w:val="00582652"/>
    <w:rsid w:val="0058403F"/>
    <w:rsid w:val="00584846"/>
    <w:rsid w:val="00590E30"/>
    <w:rsid w:val="00593D3E"/>
    <w:rsid w:val="005B24BA"/>
    <w:rsid w:val="005B2878"/>
    <w:rsid w:val="005B424D"/>
    <w:rsid w:val="005B7F8D"/>
    <w:rsid w:val="005C2A31"/>
    <w:rsid w:val="005C4E51"/>
    <w:rsid w:val="005D0B08"/>
    <w:rsid w:val="005D2463"/>
    <w:rsid w:val="005D29BE"/>
    <w:rsid w:val="005D2FA0"/>
    <w:rsid w:val="005D7FE1"/>
    <w:rsid w:val="005E4BF6"/>
    <w:rsid w:val="005F0771"/>
    <w:rsid w:val="005F25C1"/>
    <w:rsid w:val="00610BE6"/>
    <w:rsid w:val="00611236"/>
    <w:rsid w:val="006127FE"/>
    <w:rsid w:val="00617998"/>
    <w:rsid w:val="006266CE"/>
    <w:rsid w:val="006331AF"/>
    <w:rsid w:val="006345FC"/>
    <w:rsid w:val="0064373C"/>
    <w:rsid w:val="00654885"/>
    <w:rsid w:val="00661932"/>
    <w:rsid w:val="0066478F"/>
    <w:rsid w:val="00672CC6"/>
    <w:rsid w:val="00674E94"/>
    <w:rsid w:val="00677D25"/>
    <w:rsid w:val="00682B82"/>
    <w:rsid w:val="00687939"/>
    <w:rsid w:val="006916B3"/>
    <w:rsid w:val="00691B5B"/>
    <w:rsid w:val="00692A41"/>
    <w:rsid w:val="0069370B"/>
    <w:rsid w:val="0069644C"/>
    <w:rsid w:val="006A169A"/>
    <w:rsid w:val="006A2B0D"/>
    <w:rsid w:val="006A52DD"/>
    <w:rsid w:val="006B30C1"/>
    <w:rsid w:val="006B3AD9"/>
    <w:rsid w:val="006B3D43"/>
    <w:rsid w:val="006B73A0"/>
    <w:rsid w:val="006C4079"/>
    <w:rsid w:val="006D196F"/>
    <w:rsid w:val="006D5BBB"/>
    <w:rsid w:val="006D6AE2"/>
    <w:rsid w:val="006E2BBA"/>
    <w:rsid w:val="006E3B00"/>
    <w:rsid w:val="006E5ED0"/>
    <w:rsid w:val="006E7D7F"/>
    <w:rsid w:val="006F411A"/>
    <w:rsid w:val="00706B94"/>
    <w:rsid w:val="00717FFB"/>
    <w:rsid w:val="007208D0"/>
    <w:rsid w:val="00730739"/>
    <w:rsid w:val="00731C05"/>
    <w:rsid w:val="00741C63"/>
    <w:rsid w:val="0074352B"/>
    <w:rsid w:val="00744A9F"/>
    <w:rsid w:val="007469B1"/>
    <w:rsid w:val="00746F30"/>
    <w:rsid w:val="0076280D"/>
    <w:rsid w:val="00774B46"/>
    <w:rsid w:val="007774D6"/>
    <w:rsid w:val="00793AE1"/>
    <w:rsid w:val="00795212"/>
    <w:rsid w:val="00795AC3"/>
    <w:rsid w:val="007A0C94"/>
    <w:rsid w:val="007A7A04"/>
    <w:rsid w:val="007B1079"/>
    <w:rsid w:val="007B6777"/>
    <w:rsid w:val="007B6A95"/>
    <w:rsid w:val="007C14F3"/>
    <w:rsid w:val="007C1720"/>
    <w:rsid w:val="007C3022"/>
    <w:rsid w:val="007C38D8"/>
    <w:rsid w:val="007C3C8E"/>
    <w:rsid w:val="007C64A2"/>
    <w:rsid w:val="007D705A"/>
    <w:rsid w:val="007E0F29"/>
    <w:rsid w:val="007E32A7"/>
    <w:rsid w:val="007F1F54"/>
    <w:rsid w:val="007F328E"/>
    <w:rsid w:val="007F6513"/>
    <w:rsid w:val="007F7463"/>
    <w:rsid w:val="00803157"/>
    <w:rsid w:val="00804BE5"/>
    <w:rsid w:val="00805DB6"/>
    <w:rsid w:val="008103C5"/>
    <w:rsid w:val="008168F7"/>
    <w:rsid w:val="008175AF"/>
    <w:rsid w:val="00820480"/>
    <w:rsid w:val="008237F7"/>
    <w:rsid w:val="00826D5E"/>
    <w:rsid w:val="00830BF0"/>
    <w:rsid w:val="00830EB2"/>
    <w:rsid w:val="00836C09"/>
    <w:rsid w:val="0083739F"/>
    <w:rsid w:val="00845270"/>
    <w:rsid w:val="0085594F"/>
    <w:rsid w:val="00861DE2"/>
    <w:rsid w:val="00867B50"/>
    <w:rsid w:val="00871A8A"/>
    <w:rsid w:val="008808E0"/>
    <w:rsid w:val="008839D1"/>
    <w:rsid w:val="0089063A"/>
    <w:rsid w:val="00893D7F"/>
    <w:rsid w:val="00895393"/>
    <w:rsid w:val="008A0BC5"/>
    <w:rsid w:val="008A6E0C"/>
    <w:rsid w:val="008B06A7"/>
    <w:rsid w:val="008B6A51"/>
    <w:rsid w:val="008C04C0"/>
    <w:rsid w:val="008C0867"/>
    <w:rsid w:val="008C2E47"/>
    <w:rsid w:val="008E3054"/>
    <w:rsid w:val="008E7360"/>
    <w:rsid w:val="008F2643"/>
    <w:rsid w:val="008F4688"/>
    <w:rsid w:val="008F6ED7"/>
    <w:rsid w:val="0090284D"/>
    <w:rsid w:val="00903B4E"/>
    <w:rsid w:val="00903DF7"/>
    <w:rsid w:val="00906D51"/>
    <w:rsid w:val="00911263"/>
    <w:rsid w:val="00911A39"/>
    <w:rsid w:val="009131AF"/>
    <w:rsid w:val="00920453"/>
    <w:rsid w:val="00926182"/>
    <w:rsid w:val="00932143"/>
    <w:rsid w:val="0093565E"/>
    <w:rsid w:val="009366DA"/>
    <w:rsid w:val="00951B5E"/>
    <w:rsid w:val="0095776D"/>
    <w:rsid w:val="0096452C"/>
    <w:rsid w:val="00970B2B"/>
    <w:rsid w:val="009712BC"/>
    <w:rsid w:val="0098756E"/>
    <w:rsid w:val="009915BE"/>
    <w:rsid w:val="00991C49"/>
    <w:rsid w:val="00994722"/>
    <w:rsid w:val="009B68A6"/>
    <w:rsid w:val="009D02AF"/>
    <w:rsid w:val="009D4BEE"/>
    <w:rsid w:val="009F0B1D"/>
    <w:rsid w:val="009F29CE"/>
    <w:rsid w:val="009F2CA1"/>
    <w:rsid w:val="009F3A4E"/>
    <w:rsid w:val="00A00B7F"/>
    <w:rsid w:val="00A03012"/>
    <w:rsid w:val="00A112E8"/>
    <w:rsid w:val="00A21687"/>
    <w:rsid w:val="00A21C14"/>
    <w:rsid w:val="00A2692F"/>
    <w:rsid w:val="00A27D14"/>
    <w:rsid w:val="00A36EB9"/>
    <w:rsid w:val="00A57DEA"/>
    <w:rsid w:val="00A731CD"/>
    <w:rsid w:val="00AA05BF"/>
    <w:rsid w:val="00AA32D3"/>
    <w:rsid w:val="00AA49A6"/>
    <w:rsid w:val="00AA729E"/>
    <w:rsid w:val="00AB0844"/>
    <w:rsid w:val="00AB36FB"/>
    <w:rsid w:val="00AC1B9F"/>
    <w:rsid w:val="00AC2FF6"/>
    <w:rsid w:val="00AC58C5"/>
    <w:rsid w:val="00AD788F"/>
    <w:rsid w:val="00AE22C6"/>
    <w:rsid w:val="00AE5E26"/>
    <w:rsid w:val="00AF68B5"/>
    <w:rsid w:val="00B112A4"/>
    <w:rsid w:val="00B16511"/>
    <w:rsid w:val="00B23161"/>
    <w:rsid w:val="00B43BC3"/>
    <w:rsid w:val="00B460AB"/>
    <w:rsid w:val="00B46E63"/>
    <w:rsid w:val="00B51FCA"/>
    <w:rsid w:val="00B52BF7"/>
    <w:rsid w:val="00B52FAC"/>
    <w:rsid w:val="00B5698E"/>
    <w:rsid w:val="00B61524"/>
    <w:rsid w:val="00B6221B"/>
    <w:rsid w:val="00B75F4A"/>
    <w:rsid w:val="00B7677B"/>
    <w:rsid w:val="00B76868"/>
    <w:rsid w:val="00B77980"/>
    <w:rsid w:val="00B857C7"/>
    <w:rsid w:val="00BA1667"/>
    <w:rsid w:val="00BA1DBE"/>
    <w:rsid w:val="00BA227B"/>
    <w:rsid w:val="00BA2D08"/>
    <w:rsid w:val="00BA3F9F"/>
    <w:rsid w:val="00BB119D"/>
    <w:rsid w:val="00BB18C0"/>
    <w:rsid w:val="00BB4430"/>
    <w:rsid w:val="00BC0C82"/>
    <w:rsid w:val="00BC44D7"/>
    <w:rsid w:val="00BC45EF"/>
    <w:rsid w:val="00BC4BD5"/>
    <w:rsid w:val="00BE1CE3"/>
    <w:rsid w:val="00BE686E"/>
    <w:rsid w:val="00BF045C"/>
    <w:rsid w:val="00BF1A1B"/>
    <w:rsid w:val="00BF2011"/>
    <w:rsid w:val="00BF2DE7"/>
    <w:rsid w:val="00BF4511"/>
    <w:rsid w:val="00BF6F88"/>
    <w:rsid w:val="00C03532"/>
    <w:rsid w:val="00C236A9"/>
    <w:rsid w:val="00C2772E"/>
    <w:rsid w:val="00C346AE"/>
    <w:rsid w:val="00C36304"/>
    <w:rsid w:val="00C42EFE"/>
    <w:rsid w:val="00C57CA2"/>
    <w:rsid w:val="00C65377"/>
    <w:rsid w:val="00C73285"/>
    <w:rsid w:val="00C73859"/>
    <w:rsid w:val="00C745B9"/>
    <w:rsid w:val="00C90D63"/>
    <w:rsid w:val="00C94FC3"/>
    <w:rsid w:val="00C952F2"/>
    <w:rsid w:val="00C9632B"/>
    <w:rsid w:val="00CA2CD8"/>
    <w:rsid w:val="00CA5E34"/>
    <w:rsid w:val="00CB4C07"/>
    <w:rsid w:val="00CB63F4"/>
    <w:rsid w:val="00CC0D93"/>
    <w:rsid w:val="00CC484D"/>
    <w:rsid w:val="00CC5FE0"/>
    <w:rsid w:val="00CC7A16"/>
    <w:rsid w:val="00CD1A2A"/>
    <w:rsid w:val="00CD7B0E"/>
    <w:rsid w:val="00CE2978"/>
    <w:rsid w:val="00CE673D"/>
    <w:rsid w:val="00CE7243"/>
    <w:rsid w:val="00D0682D"/>
    <w:rsid w:val="00D11994"/>
    <w:rsid w:val="00D143BC"/>
    <w:rsid w:val="00D20929"/>
    <w:rsid w:val="00D217A3"/>
    <w:rsid w:val="00D224D9"/>
    <w:rsid w:val="00D23950"/>
    <w:rsid w:val="00D31019"/>
    <w:rsid w:val="00D31433"/>
    <w:rsid w:val="00D33485"/>
    <w:rsid w:val="00D3458D"/>
    <w:rsid w:val="00D476AB"/>
    <w:rsid w:val="00D51659"/>
    <w:rsid w:val="00D5363F"/>
    <w:rsid w:val="00D57CD5"/>
    <w:rsid w:val="00D605D9"/>
    <w:rsid w:val="00D636DC"/>
    <w:rsid w:val="00D642D6"/>
    <w:rsid w:val="00D704FC"/>
    <w:rsid w:val="00D72046"/>
    <w:rsid w:val="00D72BC4"/>
    <w:rsid w:val="00D765AE"/>
    <w:rsid w:val="00D904D1"/>
    <w:rsid w:val="00D919C4"/>
    <w:rsid w:val="00D93D01"/>
    <w:rsid w:val="00DA03E4"/>
    <w:rsid w:val="00DA3B7E"/>
    <w:rsid w:val="00DA4599"/>
    <w:rsid w:val="00DB0467"/>
    <w:rsid w:val="00DB0D4F"/>
    <w:rsid w:val="00DB1157"/>
    <w:rsid w:val="00DB5876"/>
    <w:rsid w:val="00DB6A42"/>
    <w:rsid w:val="00DD19EE"/>
    <w:rsid w:val="00DD465B"/>
    <w:rsid w:val="00DD6016"/>
    <w:rsid w:val="00DF4BEA"/>
    <w:rsid w:val="00DF5C13"/>
    <w:rsid w:val="00DF6DA4"/>
    <w:rsid w:val="00DF6F52"/>
    <w:rsid w:val="00DF75A7"/>
    <w:rsid w:val="00E02D05"/>
    <w:rsid w:val="00E042B1"/>
    <w:rsid w:val="00E066A1"/>
    <w:rsid w:val="00E13586"/>
    <w:rsid w:val="00E13AB2"/>
    <w:rsid w:val="00E223CB"/>
    <w:rsid w:val="00E2404A"/>
    <w:rsid w:val="00E270EA"/>
    <w:rsid w:val="00E2751C"/>
    <w:rsid w:val="00E400AD"/>
    <w:rsid w:val="00E4423C"/>
    <w:rsid w:val="00E46A9C"/>
    <w:rsid w:val="00E80783"/>
    <w:rsid w:val="00E81943"/>
    <w:rsid w:val="00E81EFA"/>
    <w:rsid w:val="00E92CA2"/>
    <w:rsid w:val="00EA5875"/>
    <w:rsid w:val="00EC6660"/>
    <w:rsid w:val="00EC6A2F"/>
    <w:rsid w:val="00ED0167"/>
    <w:rsid w:val="00ED0BE1"/>
    <w:rsid w:val="00ED5068"/>
    <w:rsid w:val="00EE507A"/>
    <w:rsid w:val="00F07ECE"/>
    <w:rsid w:val="00F1074D"/>
    <w:rsid w:val="00F10832"/>
    <w:rsid w:val="00F13F67"/>
    <w:rsid w:val="00F24511"/>
    <w:rsid w:val="00F24737"/>
    <w:rsid w:val="00F32E9B"/>
    <w:rsid w:val="00F42144"/>
    <w:rsid w:val="00F515FF"/>
    <w:rsid w:val="00F5792D"/>
    <w:rsid w:val="00F579DF"/>
    <w:rsid w:val="00F63D89"/>
    <w:rsid w:val="00F80CC2"/>
    <w:rsid w:val="00F90575"/>
    <w:rsid w:val="00FA4E63"/>
    <w:rsid w:val="00FA6CDD"/>
    <w:rsid w:val="00FA79EF"/>
    <w:rsid w:val="00FB2E87"/>
    <w:rsid w:val="00FB7104"/>
    <w:rsid w:val="00FC51D1"/>
    <w:rsid w:val="00FD020D"/>
    <w:rsid w:val="00FD39D9"/>
    <w:rsid w:val="00FE0A6C"/>
    <w:rsid w:val="00FE18D6"/>
    <w:rsid w:val="00FE1C66"/>
    <w:rsid w:val="00FE2C61"/>
    <w:rsid w:val="00FF062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0B8A733"/>
  <w15:docId w15:val="{6B8F0B78-42C6-3748-A9A1-906E5EB3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660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8D4"/>
    <w:pPr>
      <w:keepNext/>
      <w:keepLines/>
      <w:outlineLvl w:val="0"/>
    </w:pPr>
    <w:rPr>
      <w:rFonts w:eastAsiaTheme="majorEastAsia" w:cstheme="majorBidi"/>
      <w:b/>
      <w:bCs/>
      <w:szCs w:val="32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46F"/>
    <w:pPr>
      <w:keepNext/>
      <w:keepLines/>
      <w:outlineLvl w:val="1"/>
    </w:pPr>
    <w:rPr>
      <w:rFonts w:eastAsiaTheme="majorEastAsia" w:cstheme="majorBidi"/>
      <w:b/>
      <w:bCs/>
      <w:szCs w:val="26"/>
      <w:lang w:val="sv-SE" w:eastAsia="sv-S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BD5"/>
    <w:pPr>
      <w:ind w:left="720"/>
      <w:contextualSpacing/>
    </w:pPr>
    <w:rPr>
      <w:lang w:val="sv-SE" w:eastAsia="sv-SE"/>
    </w:rPr>
  </w:style>
  <w:style w:type="paragraph" w:styleId="HTMLAddress">
    <w:name w:val="HTML Address"/>
    <w:aliases w:val=" adress"/>
    <w:basedOn w:val="z-TopofForm"/>
    <w:link w:val="HTMLAddressChar"/>
    <w:rsid w:val="003A6707"/>
    <w:pPr>
      <w:pBdr>
        <w:bottom w:val="none" w:sz="0" w:space="0" w:color="auto"/>
      </w:pBdr>
      <w:jc w:val="left"/>
    </w:pPr>
    <w:rPr>
      <w:rFonts w:ascii="Times New Roman" w:hAnsi="Times New Roman"/>
      <w:vanish w:val="0"/>
      <w:sz w:val="24"/>
      <w:szCs w:val="20"/>
      <w:lang w:val="en-US"/>
    </w:rPr>
  </w:style>
  <w:style w:type="character" w:customStyle="1" w:styleId="HTMLAddressChar">
    <w:name w:val="HTML Address Char"/>
    <w:aliases w:val=" adress Char"/>
    <w:basedOn w:val="DefaultParagraphFont"/>
    <w:link w:val="HTMLAddress"/>
    <w:rsid w:val="003A6707"/>
    <w:rPr>
      <w:sz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3A670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sv-SE" w:eastAsia="sv-SE"/>
    </w:rPr>
  </w:style>
  <w:style w:type="character" w:customStyle="1" w:styleId="z-TopofFormChar">
    <w:name w:val="z-Top of Form Char"/>
    <w:basedOn w:val="DefaultParagraphFont"/>
    <w:link w:val="z-TopofForm"/>
    <w:rsid w:val="003A6707"/>
    <w:rPr>
      <w:rFonts w:ascii="Arial" w:hAnsi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68D4"/>
    <w:rPr>
      <w:rFonts w:eastAsiaTheme="majorEastAsia" w:cstheme="majorBidi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146F"/>
    <w:rPr>
      <w:rFonts w:eastAsiaTheme="majorEastAsia" w:cstheme="majorBidi"/>
      <w:b/>
      <w:bCs/>
      <w:sz w:val="24"/>
      <w:szCs w:val="26"/>
    </w:rPr>
  </w:style>
  <w:style w:type="paragraph" w:styleId="BodyText">
    <w:name w:val="Body Text"/>
    <w:basedOn w:val="Normal"/>
    <w:link w:val="BodyTextChar"/>
    <w:rsid w:val="00793AE1"/>
    <w:rPr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793AE1"/>
    <w:rPr>
      <w:sz w:val="24"/>
      <w:szCs w:val="24"/>
    </w:rPr>
  </w:style>
  <w:style w:type="paragraph" w:styleId="BodyText2">
    <w:name w:val="Body Text 2"/>
    <w:basedOn w:val="Normal"/>
    <w:link w:val="BodyText2Char"/>
    <w:rsid w:val="0050146F"/>
    <w:rPr>
      <w:i/>
      <w:color w:val="FF0000"/>
      <w:lang w:val="sv-SE" w:eastAsia="sv-SE"/>
    </w:rPr>
  </w:style>
  <w:style w:type="character" w:customStyle="1" w:styleId="BodyText2Char">
    <w:name w:val="Body Text 2 Char"/>
    <w:basedOn w:val="DefaultParagraphFont"/>
    <w:link w:val="BodyText2"/>
    <w:rsid w:val="0050146F"/>
    <w:rPr>
      <w:i/>
      <w:color w:val="FF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D10B4"/>
    <w:rPr>
      <w:lang w:val="sv-SE" w:eastAsia="sv-SE"/>
    </w:rPr>
  </w:style>
  <w:style w:type="paragraph" w:styleId="TOC2">
    <w:name w:val="toc 2"/>
    <w:basedOn w:val="Normal"/>
    <w:next w:val="Normal"/>
    <w:autoRedefine/>
    <w:uiPriority w:val="39"/>
    <w:rsid w:val="001D10B4"/>
    <w:pPr>
      <w:ind w:left="240"/>
    </w:pPr>
    <w:rPr>
      <w:lang w:val="sv-SE" w:eastAsia="sv-SE"/>
    </w:rPr>
  </w:style>
  <w:style w:type="paragraph" w:styleId="TOC3">
    <w:name w:val="toc 3"/>
    <w:basedOn w:val="Normal"/>
    <w:next w:val="Normal"/>
    <w:autoRedefine/>
    <w:rsid w:val="001D10B4"/>
    <w:pPr>
      <w:ind w:left="480"/>
    </w:pPr>
    <w:rPr>
      <w:lang w:val="sv-SE" w:eastAsia="sv-SE"/>
    </w:rPr>
  </w:style>
  <w:style w:type="paragraph" w:styleId="TOC4">
    <w:name w:val="toc 4"/>
    <w:basedOn w:val="Normal"/>
    <w:next w:val="Normal"/>
    <w:autoRedefine/>
    <w:rsid w:val="001D10B4"/>
    <w:pPr>
      <w:ind w:left="720"/>
    </w:pPr>
    <w:rPr>
      <w:lang w:val="sv-SE" w:eastAsia="sv-SE"/>
    </w:rPr>
  </w:style>
  <w:style w:type="paragraph" w:styleId="TOC5">
    <w:name w:val="toc 5"/>
    <w:basedOn w:val="Normal"/>
    <w:next w:val="Normal"/>
    <w:autoRedefine/>
    <w:rsid w:val="001D10B4"/>
    <w:pPr>
      <w:ind w:left="960"/>
    </w:pPr>
    <w:rPr>
      <w:lang w:val="sv-SE" w:eastAsia="sv-SE"/>
    </w:rPr>
  </w:style>
  <w:style w:type="paragraph" w:styleId="TOC6">
    <w:name w:val="toc 6"/>
    <w:basedOn w:val="Normal"/>
    <w:next w:val="Normal"/>
    <w:autoRedefine/>
    <w:rsid w:val="001D10B4"/>
    <w:pPr>
      <w:ind w:left="1200"/>
    </w:pPr>
    <w:rPr>
      <w:lang w:val="sv-SE" w:eastAsia="sv-SE"/>
    </w:rPr>
  </w:style>
  <w:style w:type="paragraph" w:styleId="TOC7">
    <w:name w:val="toc 7"/>
    <w:basedOn w:val="Normal"/>
    <w:next w:val="Normal"/>
    <w:autoRedefine/>
    <w:rsid w:val="001D10B4"/>
    <w:pPr>
      <w:ind w:left="1440"/>
    </w:pPr>
    <w:rPr>
      <w:lang w:val="sv-SE" w:eastAsia="sv-SE"/>
    </w:rPr>
  </w:style>
  <w:style w:type="paragraph" w:styleId="TOC8">
    <w:name w:val="toc 8"/>
    <w:basedOn w:val="Normal"/>
    <w:next w:val="Normal"/>
    <w:autoRedefine/>
    <w:rsid w:val="001D10B4"/>
    <w:pPr>
      <w:ind w:left="1680"/>
    </w:pPr>
    <w:rPr>
      <w:lang w:val="sv-SE" w:eastAsia="sv-SE"/>
    </w:rPr>
  </w:style>
  <w:style w:type="paragraph" w:styleId="TOC9">
    <w:name w:val="toc 9"/>
    <w:basedOn w:val="Normal"/>
    <w:next w:val="Normal"/>
    <w:autoRedefine/>
    <w:rsid w:val="001D10B4"/>
    <w:pPr>
      <w:ind w:left="1920"/>
    </w:pPr>
    <w:rPr>
      <w:lang w:val="sv-SE" w:eastAsia="sv-SE"/>
    </w:rPr>
  </w:style>
  <w:style w:type="paragraph" w:styleId="Header">
    <w:name w:val="header"/>
    <w:basedOn w:val="Normal"/>
    <w:link w:val="HeaderChar"/>
    <w:rsid w:val="00BA1667"/>
    <w:pPr>
      <w:tabs>
        <w:tab w:val="center" w:pos="4703"/>
        <w:tab w:val="right" w:pos="9406"/>
      </w:tabs>
    </w:pPr>
    <w:rPr>
      <w:lang w:val="sv-SE" w:eastAsia="sv-SE"/>
    </w:rPr>
  </w:style>
  <w:style w:type="character" w:customStyle="1" w:styleId="HeaderChar">
    <w:name w:val="Header Char"/>
    <w:basedOn w:val="DefaultParagraphFont"/>
    <w:link w:val="Header"/>
    <w:rsid w:val="00BA1667"/>
    <w:rPr>
      <w:sz w:val="24"/>
      <w:szCs w:val="24"/>
    </w:rPr>
  </w:style>
  <w:style w:type="paragraph" w:styleId="Footer">
    <w:name w:val="footer"/>
    <w:basedOn w:val="Normal"/>
    <w:link w:val="FooterChar"/>
    <w:rsid w:val="00BA1667"/>
    <w:pPr>
      <w:tabs>
        <w:tab w:val="center" w:pos="4703"/>
        <w:tab w:val="right" w:pos="9406"/>
      </w:tabs>
    </w:pPr>
    <w:rPr>
      <w:lang w:val="sv-SE" w:eastAsia="sv-SE"/>
    </w:rPr>
  </w:style>
  <w:style w:type="character" w:customStyle="1" w:styleId="FooterChar">
    <w:name w:val="Footer Char"/>
    <w:basedOn w:val="DefaultParagraphFont"/>
    <w:link w:val="Footer"/>
    <w:rsid w:val="00BA1667"/>
    <w:rPr>
      <w:sz w:val="24"/>
      <w:szCs w:val="24"/>
    </w:rPr>
  </w:style>
  <w:style w:type="character" w:styleId="PageNumber">
    <w:name w:val="page number"/>
    <w:basedOn w:val="DefaultParagraphFont"/>
    <w:rsid w:val="00BA1667"/>
  </w:style>
  <w:style w:type="character" w:styleId="Hyperlink">
    <w:name w:val="Hyperlink"/>
    <w:uiPriority w:val="99"/>
    <w:rsid w:val="00B76868"/>
    <w:rPr>
      <w:color w:val="0000FF"/>
      <w:u w:val="single"/>
    </w:rPr>
  </w:style>
  <w:style w:type="paragraph" w:styleId="ListBullet2">
    <w:name w:val="List Bullet 2"/>
    <w:basedOn w:val="Normal"/>
    <w:autoRedefine/>
    <w:rsid w:val="001A0378"/>
    <w:pPr>
      <w:numPr>
        <w:numId w:val="13"/>
      </w:numPr>
    </w:pPr>
    <w:rPr>
      <w:rFonts w:ascii="Times" w:hAnsi="Times"/>
      <w:szCs w:val="20"/>
      <w:lang w:val="en-US" w:eastAsia="sv-SE"/>
    </w:rPr>
  </w:style>
  <w:style w:type="character" w:styleId="FollowedHyperlink">
    <w:name w:val="FollowedHyperlink"/>
    <w:basedOn w:val="DefaultParagraphFont"/>
    <w:rsid w:val="006127FE"/>
    <w:rPr>
      <w:color w:val="954F72" w:themeColor="followedHyperlink"/>
      <w:u w:val="single"/>
    </w:rPr>
  </w:style>
  <w:style w:type="character" w:customStyle="1" w:styleId="slug-vol">
    <w:name w:val="slug-vol"/>
    <w:basedOn w:val="DefaultParagraphFont"/>
    <w:rsid w:val="008E3054"/>
    <w:rPr>
      <w:b/>
      <w:bCs/>
    </w:rPr>
  </w:style>
  <w:style w:type="character" w:customStyle="1" w:styleId="cit-sep1">
    <w:name w:val="cit-sep1"/>
    <w:basedOn w:val="DefaultParagraphFont"/>
    <w:rsid w:val="008E3054"/>
    <w:rPr>
      <w:b w:val="0"/>
      <w:bCs w:val="0"/>
    </w:rPr>
  </w:style>
  <w:style w:type="character" w:customStyle="1" w:styleId="slug-pub-date3">
    <w:name w:val="slug-pub-date3"/>
    <w:basedOn w:val="DefaultParagraphFont"/>
    <w:rsid w:val="008E3054"/>
    <w:rPr>
      <w:b w:val="0"/>
      <w:bCs w:val="0"/>
    </w:rPr>
  </w:style>
  <w:style w:type="character" w:customStyle="1" w:styleId="slug-pages3">
    <w:name w:val="slug-pages3"/>
    <w:basedOn w:val="DefaultParagraphFont"/>
    <w:rsid w:val="008E3054"/>
    <w:rPr>
      <w:b w:val="0"/>
      <w:bCs w:val="0"/>
    </w:rPr>
  </w:style>
  <w:style w:type="character" w:customStyle="1" w:styleId="slug-doi2">
    <w:name w:val="slug-doi2"/>
    <w:basedOn w:val="DefaultParagraphFont"/>
    <w:rsid w:val="008E3054"/>
  </w:style>
  <w:style w:type="paragraph" w:customStyle="1" w:styleId="EndNoteBibliographyTitle">
    <w:name w:val="EndNote Bibliography Title"/>
    <w:basedOn w:val="Normal"/>
    <w:rsid w:val="00951B5E"/>
    <w:pPr>
      <w:jc w:val="center"/>
    </w:pPr>
    <w:rPr>
      <w:lang w:val="sv-SE" w:eastAsia="sv-SE"/>
    </w:rPr>
  </w:style>
  <w:style w:type="paragraph" w:customStyle="1" w:styleId="EndNoteBibliography">
    <w:name w:val="EndNote Bibliography"/>
    <w:basedOn w:val="Normal"/>
    <w:rsid w:val="00951B5E"/>
    <w:rPr>
      <w:lang w:val="sv-SE" w:eastAsia="sv-SE"/>
    </w:rPr>
  </w:style>
  <w:style w:type="character" w:customStyle="1" w:styleId="apple-converted-space">
    <w:name w:val="apple-converted-space"/>
    <w:basedOn w:val="DefaultParagraphFont"/>
    <w:rsid w:val="006B30C1"/>
  </w:style>
  <w:style w:type="character" w:styleId="Strong">
    <w:name w:val="Strong"/>
    <w:basedOn w:val="DefaultParagraphFont"/>
    <w:uiPriority w:val="22"/>
    <w:qFormat/>
    <w:rsid w:val="008C2E47"/>
    <w:rPr>
      <w:b/>
      <w:bCs/>
    </w:rPr>
  </w:style>
  <w:style w:type="character" w:styleId="Emphasis">
    <w:name w:val="Emphasis"/>
    <w:basedOn w:val="DefaultParagraphFont"/>
    <w:uiPriority w:val="20"/>
    <w:qFormat/>
    <w:rsid w:val="008C2E4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404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50E0"/>
    <w:pPr>
      <w:spacing w:before="100" w:beforeAutospacing="1" w:after="100" w:afterAutospacing="1"/>
    </w:pPr>
  </w:style>
  <w:style w:type="paragraph" w:styleId="ListBullet">
    <w:name w:val="List Bullet"/>
    <w:basedOn w:val="Normal"/>
    <w:semiHidden/>
    <w:unhideWhenUsed/>
    <w:rsid w:val="008839D1"/>
    <w:pPr>
      <w:numPr>
        <w:numId w:val="8"/>
      </w:numPr>
      <w:contextualSpacing/>
    </w:pPr>
    <w:rPr>
      <w:lang w:val="sv-SE" w:eastAsia="sv-SE"/>
    </w:rPr>
  </w:style>
  <w:style w:type="paragraph" w:customStyle="1" w:styleId="Checkbox">
    <w:name w:val="Checkbox"/>
    <w:basedOn w:val="Normal"/>
    <w:next w:val="ListBullet2"/>
    <w:qFormat/>
    <w:rsid w:val="00537AF6"/>
    <w:pPr>
      <w:numPr>
        <w:numId w:val="28"/>
      </w:numPr>
      <w:autoSpaceDE w:val="0"/>
      <w:autoSpaceDN w:val="0"/>
      <w:adjustRightInd w:val="0"/>
      <w:contextualSpacing/>
    </w:pPr>
    <w:rPr>
      <w:rFonts w:eastAsiaTheme="minorEastAsia"/>
      <w:lang w:val="sv-S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4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8526302/" TargetMode="External"/><Relationship Id="rId13" Type="http://schemas.openxmlformats.org/officeDocument/2006/relationships/hyperlink" Target="https://emergencymedicinecases.com/subarachnoid-hemorrhage-recognition-workup-diagnos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mergencymedicinecases.com/simplifying-syncop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ergencymedicinecases.com/subarachnoid-hemorrhage-recognition-workup-diagnosi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mergencymedicinecases.com/syncope-simplifi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29562304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F178F4-5F97-4A46-901D-8ABF6C18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Skåne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USiL Akuten</dc:creator>
  <cp:keywords/>
  <dc:description/>
  <cp:lastModifiedBy>eric Dryver</cp:lastModifiedBy>
  <cp:revision>428</cp:revision>
  <dcterms:created xsi:type="dcterms:W3CDTF">2016-02-09T11:04:00Z</dcterms:created>
  <dcterms:modified xsi:type="dcterms:W3CDTF">2024-11-18T05:39:00Z</dcterms:modified>
</cp:coreProperties>
</file>