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1D4CB" w14:textId="7D3486E7" w:rsidR="00D73CB5" w:rsidRPr="009B3097" w:rsidRDefault="00041613" w:rsidP="00D73CB5">
      <w:pPr>
        <w:tabs>
          <w:tab w:val="left" w:pos="8505"/>
          <w:tab w:val="left" w:pos="10080"/>
          <w:tab w:val="left" w:pos="10800"/>
          <w:tab w:val="left" w:pos="11520"/>
        </w:tabs>
        <w:ind w:right="-715"/>
        <w:jc w:val="center"/>
        <w:rPr>
          <w:b/>
          <w:sz w:val="28"/>
          <w:szCs w:val="24"/>
          <w:lang w:val="en-CA" w:eastAsia="ja-JP"/>
        </w:rPr>
      </w:pPr>
      <w:r w:rsidRPr="009B3097">
        <w:rPr>
          <w:b/>
          <w:sz w:val="28"/>
          <w:szCs w:val="24"/>
          <w:lang w:val="en-CA" w:eastAsia="ja-JP"/>
        </w:rPr>
        <w:t>70-</w:t>
      </w:r>
      <w:r w:rsidR="00D8172B" w:rsidRPr="009B3097">
        <w:rPr>
          <w:b/>
          <w:sz w:val="28"/>
          <w:szCs w:val="24"/>
          <w:lang w:val="en-CA" w:eastAsia="ja-JP"/>
        </w:rPr>
        <w:t xml:space="preserve">YEAR-OLD </w:t>
      </w:r>
      <w:r w:rsidR="00D73CB5" w:rsidRPr="009B3097">
        <w:rPr>
          <w:b/>
          <w:sz w:val="28"/>
          <w:szCs w:val="24"/>
          <w:lang w:val="en-CA" w:eastAsia="ja-JP"/>
        </w:rPr>
        <w:t xml:space="preserve">MAN WITH </w:t>
      </w:r>
      <w:r w:rsidR="00D8172B" w:rsidRPr="009B3097">
        <w:rPr>
          <w:b/>
          <w:sz w:val="28"/>
          <w:szCs w:val="24"/>
          <w:lang w:val="en-CA" w:eastAsia="ja-JP"/>
        </w:rPr>
        <w:t>CONFUSION</w:t>
      </w:r>
    </w:p>
    <w:p w14:paraId="28ED2D1D" w14:textId="77777777" w:rsidR="00D73CB5" w:rsidRPr="009B3097" w:rsidRDefault="00D73CB5" w:rsidP="00D73CB5">
      <w:pPr>
        <w:tabs>
          <w:tab w:val="left" w:pos="8505"/>
          <w:tab w:val="left" w:pos="10080"/>
          <w:tab w:val="left" w:pos="10800"/>
          <w:tab w:val="left" w:pos="11520"/>
        </w:tabs>
        <w:ind w:right="-715"/>
        <w:rPr>
          <w:b/>
          <w:sz w:val="24"/>
          <w:szCs w:val="24"/>
          <w:lang w:val="en-CA" w:eastAsia="ja-JP"/>
        </w:rPr>
      </w:pPr>
    </w:p>
    <w:p w14:paraId="2DE8824F" w14:textId="7C1C97BD" w:rsidR="00D73CB5" w:rsidRPr="009B3097" w:rsidRDefault="00382F2B" w:rsidP="009E42E2">
      <w:pPr>
        <w:tabs>
          <w:tab w:val="left" w:pos="7230"/>
          <w:tab w:val="left" w:pos="10080"/>
          <w:tab w:val="left" w:pos="10800"/>
          <w:tab w:val="left" w:pos="11520"/>
        </w:tabs>
        <w:ind w:right="-715"/>
        <w:rPr>
          <w:b/>
          <w:sz w:val="24"/>
          <w:szCs w:val="24"/>
          <w:lang w:val="en-CA" w:eastAsia="ja-JP"/>
        </w:rPr>
      </w:pPr>
      <w:r w:rsidRPr="009B3097">
        <w:rPr>
          <w:b/>
          <w:sz w:val="24"/>
          <w:szCs w:val="24"/>
          <w:lang w:val="en-CA" w:eastAsia="ja-JP"/>
        </w:rPr>
        <w:t>AUTHOR &amp; E-MAIL</w:t>
      </w:r>
      <w:r w:rsidR="009E42E2" w:rsidRPr="009B3097">
        <w:rPr>
          <w:b/>
          <w:sz w:val="24"/>
          <w:szCs w:val="24"/>
          <w:lang w:val="en-CA" w:eastAsia="ja-JP"/>
        </w:rPr>
        <w:tab/>
        <w:t>LATEST REVISION</w:t>
      </w:r>
    </w:p>
    <w:p w14:paraId="7584598C" w14:textId="77777777" w:rsidR="009E42E2" w:rsidRPr="009B3097" w:rsidRDefault="00382F2B" w:rsidP="009E42E2">
      <w:pPr>
        <w:pStyle w:val="Brdtext"/>
        <w:tabs>
          <w:tab w:val="left" w:pos="7230"/>
        </w:tabs>
        <w:rPr>
          <w:rFonts w:ascii="Times New Roman" w:hAnsi="Times New Roman"/>
          <w:szCs w:val="24"/>
          <w:lang w:val="en-CA" w:eastAsia="ja-JP"/>
        </w:rPr>
      </w:pPr>
      <w:r w:rsidRPr="009B3097">
        <w:rPr>
          <w:rFonts w:ascii="Times New Roman" w:hAnsi="Times New Roman"/>
          <w:lang w:val="en-CA" w:eastAsia="ja-JP"/>
        </w:rPr>
        <w:t>Eric Dryver:  e_dryver@hotmail.com</w:t>
      </w:r>
      <w:r w:rsidR="009E42E2" w:rsidRPr="009B3097">
        <w:rPr>
          <w:rFonts w:ascii="Times New Roman" w:hAnsi="Times New Roman"/>
          <w:lang w:val="en-CA" w:eastAsia="ja-JP"/>
        </w:rPr>
        <w:tab/>
        <w:t>160917</w:t>
      </w:r>
    </w:p>
    <w:p w14:paraId="4DA7CE7A" w14:textId="77777777" w:rsidR="00D73CB5" w:rsidRPr="009B3097" w:rsidRDefault="00D73CB5" w:rsidP="00D73CB5">
      <w:pPr>
        <w:tabs>
          <w:tab w:val="left" w:pos="8505"/>
          <w:tab w:val="left" w:pos="10080"/>
          <w:tab w:val="left" w:pos="10800"/>
          <w:tab w:val="left" w:pos="11520"/>
        </w:tabs>
        <w:ind w:right="-715"/>
        <w:rPr>
          <w:b/>
          <w:sz w:val="24"/>
          <w:szCs w:val="24"/>
          <w:lang w:val="en-CA" w:eastAsia="ja-JP"/>
        </w:rPr>
      </w:pPr>
    </w:p>
    <w:p w14:paraId="39A90BF1" w14:textId="77777777" w:rsidR="00D73CB5" w:rsidRPr="009B3097" w:rsidRDefault="00D73CB5" w:rsidP="00D73CB5">
      <w:pPr>
        <w:pStyle w:val="Brdtext"/>
        <w:ind w:right="-715"/>
        <w:rPr>
          <w:rFonts w:ascii="Times New Roman" w:hAnsi="Times New Roman"/>
          <w:b/>
          <w:lang w:val="en-CA" w:eastAsia="ja-JP"/>
        </w:rPr>
      </w:pPr>
      <w:r w:rsidRPr="009B3097">
        <w:rPr>
          <w:rFonts w:ascii="Times New Roman" w:hAnsi="Times New Roman"/>
          <w:b/>
          <w:lang w:val="en-CA" w:eastAsia="ja-JP"/>
        </w:rPr>
        <w:t>MAIN LEARNING POINTS</w:t>
      </w:r>
    </w:p>
    <w:p w14:paraId="253BEC6D" w14:textId="77777777" w:rsidR="00D73CB5" w:rsidRPr="009B3097" w:rsidRDefault="00D73CB5" w:rsidP="000C414B">
      <w:pPr>
        <w:pStyle w:val="Brdtext"/>
        <w:rPr>
          <w:rFonts w:ascii="Times New Roman" w:hAnsi="Times New Roman"/>
          <w:lang w:val="en-CA" w:eastAsia="ja-JP"/>
        </w:rPr>
      </w:pPr>
      <w:r w:rsidRPr="009B3097">
        <w:rPr>
          <w:rFonts w:ascii="Times New Roman" w:hAnsi="Times New Roman"/>
          <w:lang w:val="en-CA" w:eastAsia="ja-JP"/>
        </w:rPr>
        <w:t>1-Systematic acid-base interpretation</w:t>
      </w:r>
      <w:bookmarkStart w:id="0" w:name="_GoBack"/>
      <w:bookmarkEnd w:id="0"/>
    </w:p>
    <w:p w14:paraId="06E9DD34" w14:textId="77777777" w:rsidR="00D73CB5" w:rsidRPr="009B3097" w:rsidRDefault="00D73CB5" w:rsidP="000C414B">
      <w:pPr>
        <w:pStyle w:val="Brdtext"/>
        <w:rPr>
          <w:rFonts w:ascii="Times New Roman" w:hAnsi="Times New Roman"/>
          <w:lang w:val="en-CA" w:eastAsia="ja-JP"/>
        </w:rPr>
      </w:pPr>
      <w:r w:rsidRPr="009B3097">
        <w:rPr>
          <w:rFonts w:ascii="Times New Roman" w:hAnsi="Times New Roman"/>
          <w:lang w:val="en-CA" w:eastAsia="ja-JP"/>
        </w:rPr>
        <w:t>2-Differential diagnosis of metabolic acidosis with elevated anion gap</w:t>
      </w:r>
    </w:p>
    <w:p w14:paraId="43AD6E83" w14:textId="21E52A89" w:rsidR="006872A4" w:rsidRPr="009B3097" w:rsidRDefault="006872A4" w:rsidP="000C414B">
      <w:pPr>
        <w:pStyle w:val="Brdtext"/>
        <w:rPr>
          <w:rFonts w:ascii="Times New Roman" w:hAnsi="Times New Roman"/>
          <w:lang w:val="en-CA" w:eastAsia="ja-JP"/>
        </w:rPr>
      </w:pPr>
      <w:r w:rsidRPr="009B3097">
        <w:rPr>
          <w:rFonts w:ascii="Times New Roman" w:hAnsi="Times New Roman"/>
          <w:lang w:val="en-CA" w:eastAsia="ja-JP"/>
        </w:rPr>
        <w:t xml:space="preserve">3-Calculation of effective osmolarity and </w:t>
      </w:r>
      <w:r w:rsidR="00A71C29" w:rsidRPr="009B3097">
        <w:rPr>
          <w:rFonts w:ascii="Times New Roman" w:hAnsi="Times New Roman"/>
          <w:lang w:val="en-CA" w:eastAsia="ja-JP"/>
        </w:rPr>
        <w:t>recognition</w:t>
      </w:r>
      <w:r w:rsidRPr="009B3097">
        <w:rPr>
          <w:rFonts w:ascii="Times New Roman" w:hAnsi="Times New Roman"/>
          <w:lang w:val="en-CA" w:eastAsia="ja-JP"/>
        </w:rPr>
        <w:t xml:space="preserve"> of hyperglycemic </w:t>
      </w:r>
      <w:r w:rsidR="00160B30" w:rsidRPr="009B3097">
        <w:rPr>
          <w:rFonts w:ascii="Times New Roman" w:hAnsi="Times New Roman"/>
          <w:lang w:val="en-CA" w:eastAsia="ja-JP"/>
        </w:rPr>
        <w:t xml:space="preserve">hyperosmolar </w:t>
      </w:r>
      <w:r w:rsidRPr="009B3097">
        <w:rPr>
          <w:rFonts w:ascii="Times New Roman" w:hAnsi="Times New Roman"/>
          <w:lang w:val="en-CA" w:eastAsia="ja-JP"/>
        </w:rPr>
        <w:t>syndrome</w:t>
      </w:r>
    </w:p>
    <w:p w14:paraId="54D7D1EE" w14:textId="77777777" w:rsidR="00D73CB5" w:rsidRPr="009B3097" w:rsidRDefault="00D73CB5" w:rsidP="00D73CB5">
      <w:pPr>
        <w:tabs>
          <w:tab w:val="left" w:pos="8505"/>
          <w:tab w:val="left" w:pos="10080"/>
          <w:tab w:val="left" w:pos="10800"/>
          <w:tab w:val="left" w:pos="11520"/>
        </w:tabs>
        <w:ind w:right="-715"/>
        <w:rPr>
          <w:b/>
          <w:sz w:val="24"/>
          <w:szCs w:val="24"/>
          <w:lang w:val="en-CA" w:eastAsia="ja-JP"/>
        </w:rPr>
      </w:pPr>
    </w:p>
    <w:p w14:paraId="769D8095" w14:textId="77777777" w:rsidR="00D73CB5" w:rsidRPr="009B3097" w:rsidRDefault="00D73CB5" w:rsidP="00D73CB5">
      <w:pPr>
        <w:tabs>
          <w:tab w:val="left" w:pos="8505"/>
          <w:tab w:val="left" w:pos="10080"/>
          <w:tab w:val="left" w:pos="10800"/>
          <w:tab w:val="left" w:pos="11520"/>
        </w:tabs>
        <w:ind w:right="-715"/>
        <w:rPr>
          <w:b/>
          <w:sz w:val="24"/>
          <w:szCs w:val="24"/>
          <w:lang w:val="en-CA" w:eastAsia="ja-JP"/>
        </w:rPr>
      </w:pPr>
      <w:r w:rsidRPr="009B3097">
        <w:rPr>
          <w:b/>
          <w:sz w:val="24"/>
          <w:szCs w:val="24"/>
          <w:lang w:val="en-CA" w:eastAsia="ja-JP"/>
        </w:rPr>
        <w:t>INTRODUCTION</w:t>
      </w:r>
    </w:p>
    <w:p w14:paraId="135ACE44" w14:textId="7C126377" w:rsidR="00D73CB5" w:rsidRPr="009B3097" w:rsidRDefault="00D73CB5" w:rsidP="000C414B">
      <w:pPr>
        <w:pStyle w:val="Brdtext"/>
        <w:rPr>
          <w:rFonts w:ascii="Times New Roman" w:hAnsi="Times New Roman"/>
          <w:lang w:val="en-CA" w:eastAsia="ja-JP"/>
        </w:rPr>
      </w:pPr>
      <w:r w:rsidRPr="009B3097">
        <w:rPr>
          <w:rFonts w:ascii="Times New Roman" w:hAnsi="Times New Roman"/>
          <w:lang w:val="en-CA"/>
        </w:rPr>
        <w:t>“</w:t>
      </w:r>
      <w:r w:rsidR="00A71C29" w:rsidRPr="009B3097">
        <w:rPr>
          <w:rFonts w:ascii="Times New Roman" w:hAnsi="Times New Roman"/>
          <w:lang w:val="en-CA" w:eastAsia="ja-JP"/>
        </w:rPr>
        <w:t>A 70</w:t>
      </w:r>
      <w:r w:rsidR="00961942" w:rsidRPr="009B3097">
        <w:rPr>
          <w:rFonts w:ascii="Times New Roman" w:hAnsi="Times New Roman"/>
          <w:lang w:val="en-CA" w:eastAsia="ja-JP"/>
        </w:rPr>
        <w:t>-year-old</w:t>
      </w:r>
      <w:r w:rsidR="00A71C29" w:rsidRPr="009B3097">
        <w:rPr>
          <w:rFonts w:ascii="Times New Roman" w:hAnsi="Times New Roman"/>
          <w:lang w:val="en-CA" w:eastAsia="ja-JP"/>
        </w:rPr>
        <w:t xml:space="preserve"> </w:t>
      </w:r>
      <w:r w:rsidRPr="009B3097">
        <w:rPr>
          <w:rFonts w:ascii="Times New Roman" w:hAnsi="Times New Roman"/>
          <w:lang w:val="en-CA" w:eastAsia="ja-JP"/>
        </w:rPr>
        <w:t xml:space="preserve">man </w:t>
      </w:r>
      <w:r w:rsidR="00A71C29" w:rsidRPr="009B3097">
        <w:rPr>
          <w:rFonts w:ascii="Times New Roman" w:hAnsi="Times New Roman"/>
          <w:lang w:val="en-CA" w:eastAsia="ja-JP"/>
        </w:rPr>
        <w:t>with type 2 diabetes has been brought to the ED via ambulance.  Bedside blood tests including blood gases are taken.  How du you interpret them</w:t>
      </w:r>
      <w:r w:rsidRPr="009B3097">
        <w:rPr>
          <w:rFonts w:ascii="Times New Roman" w:hAnsi="Times New Roman"/>
          <w:lang w:val="en-CA" w:eastAsia="ja-JP"/>
        </w:rPr>
        <w:t>?”</w:t>
      </w:r>
    </w:p>
    <w:p w14:paraId="1DA7BD2E" w14:textId="77777777" w:rsidR="00D73CB5" w:rsidRPr="009B3097" w:rsidRDefault="00D73CB5" w:rsidP="000C414B">
      <w:pPr>
        <w:pStyle w:val="Brdtext"/>
        <w:rPr>
          <w:rFonts w:ascii="Times New Roman" w:hAnsi="Times New Roman"/>
          <w:b/>
          <w:szCs w:val="24"/>
          <w:lang w:val="en-CA" w:eastAsia="ja-JP"/>
        </w:rPr>
      </w:pPr>
    </w:p>
    <w:p w14:paraId="47114336" w14:textId="77777777" w:rsidR="00D73CB5" w:rsidRPr="009B3097" w:rsidRDefault="00D73CB5" w:rsidP="00D73CB5">
      <w:pPr>
        <w:tabs>
          <w:tab w:val="left" w:pos="8505"/>
        </w:tabs>
        <w:ind w:right="-715"/>
        <w:rPr>
          <w:sz w:val="24"/>
          <w:szCs w:val="24"/>
          <w:lang w:val="en-CA" w:eastAsia="ja-JP"/>
        </w:rPr>
      </w:pPr>
      <w:r w:rsidRPr="009B3097">
        <w:rPr>
          <w:b/>
          <w:sz w:val="24"/>
          <w:szCs w:val="24"/>
          <w:lang w:val="en-CA" w:eastAsia="ja-JP"/>
        </w:rPr>
        <w:t>DISCUSSION</w:t>
      </w:r>
      <w:r w:rsidRPr="009B3097">
        <w:rPr>
          <w:sz w:val="24"/>
          <w:szCs w:val="24"/>
          <w:lang w:val="en-CA"/>
        </w:rPr>
        <w:tab/>
      </w:r>
    </w:p>
    <w:p w14:paraId="7C4C3C9D" w14:textId="0680FA03" w:rsidR="00734D0B" w:rsidRPr="009B3097" w:rsidRDefault="00813AE9" w:rsidP="00D73CB5">
      <w:pPr>
        <w:tabs>
          <w:tab w:val="left" w:pos="8505"/>
        </w:tabs>
        <w:ind w:right="-715"/>
        <w:rPr>
          <w:b/>
          <w:sz w:val="24"/>
          <w:szCs w:val="24"/>
          <w:lang w:val="en-CA" w:eastAsia="ja-JP"/>
        </w:rPr>
      </w:pPr>
      <w:r w:rsidRPr="009B3097">
        <w:rPr>
          <w:b/>
          <w:sz w:val="24"/>
          <w:szCs w:val="24"/>
          <w:lang w:val="en-CA" w:eastAsia="ja-JP"/>
        </w:rPr>
        <w:t>1-</w:t>
      </w:r>
      <w:r w:rsidR="00E00694" w:rsidRPr="009B3097">
        <w:rPr>
          <w:b/>
          <w:sz w:val="24"/>
          <w:szCs w:val="24"/>
          <w:lang w:val="en-CA" w:eastAsia="ja-JP"/>
        </w:rPr>
        <w:t>Anion G</w:t>
      </w:r>
      <w:r w:rsidR="00E91DC4" w:rsidRPr="009B3097">
        <w:rPr>
          <w:b/>
          <w:sz w:val="24"/>
          <w:szCs w:val="24"/>
          <w:lang w:val="en-CA" w:eastAsia="ja-JP"/>
        </w:rPr>
        <w:t>ap</w:t>
      </w:r>
    </w:p>
    <w:p w14:paraId="53BBCFB8" w14:textId="687ED160" w:rsidR="003A0F37" w:rsidRPr="009B3097" w:rsidRDefault="003A0F37" w:rsidP="000C414B">
      <w:pPr>
        <w:pStyle w:val="Brdtext"/>
        <w:ind w:right="-432"/>
        <w:rPr>
          <w:rFonts w:ascii="Times New Roman" w:hAnsi="Times New Roman"/>
          <w:lang w:val="en-CA" w:eastAsia="ja-JP"/>
        </w:rPr>
      </w:pPr>
      <w:r w:rsidRPr="009B3097">
        <w:rPr>
          <w:rFonts w:ascii="Times New Roman" w:hAnsi="Times New Roman"/>
          <w:lang w:val="en-CA" w:eastAsia="ja-JP"/>
        </w:rPr>
        <w:t xml:space="preserve">The sum of all cations in the blood is always equal to the sum of all anions in the blood in order to preserve electrical neutrality.  When Na, Cl and HCO3 are </w:t>
      </w:r>
      <w:r w:rsidR="00784691" w:rsidRPr="009B3097">
        <w:rPr>
          <w:rFonts w:ascii="Times New Roman" w:hAnsi="Times New Roman"/>
          <w:lang w:val="en-CA" w:eastAsia="ja-JP"/>
        </w:rPr>
        <w:t>"removed"</w:t>
      </w:r>
      <w:r w:rsidR="001A14C4" w:rsidRPr="009B3097">
        <w:rPr>
          <w:rFonts w:ascii="Times New Roman" w:hAnsi="Times New Roman"/>
          <w:lang w:val="en-CA" w:eastAsia="ja-JP"/>
        </w:rPr>
        <w:t xml:space="preserve"> from the blood</w:t>
      </w:r>
      <w:r w:rsidRPr="009B3097">
        <w:rPr>
          <w:rFonts w:ascii="Times New Roman" w:hAnsi="Times New Roman"/>
          <w:lang w:val="en-CA" w:eastAsia="ja-JP"/>
        </w:rPr>
        <w:t xml:space="preserve">, </w:t>
      </w:r>
      <w:r w:rsidR="001A14C4" w:rsidRPr="009B3097">
        <w:rPr>
          <w:rFonts w:ascii="Times New Roman" w:hAnsi="Times New Roman"/>
          <w:lang w:val="en-CA" w:eastAsia="ja-JP"/>
        </w:rPr>
        <w:t xml:space="preserve">the number of mmol/L of anions </w:t>
      </w:r>
      <w:r w:rsidR="00961942" w:rsidRPr="009B3097">
        <w:rPr>
          <w:rFonts w:ascii="Times New Roman" w:hAnsi="Times New Roman"/>
          <w:lang w:val="en-CA" w:eastAsia="ja-JP"/>
        </w:rPr>
        <w:t xml:space="preserve">left </w:t>
      </w:r>
      <w:r w:rsidR="001A14C4" w:rsidRPr="009B3097">
        <w:rPr>
          <w:rFonts w:ascii="Times New Roman" w:hAnsi="Times New Roman"/>
          <w:lang w:val="en-CA" w:eastAsia="ja-JP"/>
        </w:rPr>
        <w:t xml:space="preserve">normally exceeds the number of mmol/L of cations by 6 – 12 mmol/L.  This anion excess </w:t>
      </w:r>
      <w:r w:rsidRPr="009B3097">
        <w:rPr>
          <w:rFonts w:ascii="Times New Roman" w:hAnsi="Times New Roman"/>
          <w:lang w:val="en-CA" w:eastAsia="ja-JP"/>
        </w:rPr>
        <w:t>is referred to an the “anion gap.”</w:t>
      </w:r>
      <w:r w:rsidR="00EF5FA1" w:rsidRPr="009B3097">
        <w:rPr>
          <w:rFonts w:ascii="Times New Roman" w:hAnsi="Times New Roman"/>
          <w:lang w:val="en-CA" w:eastAsia="ja-JP"/>
        </w:rPr>
        <w:t xml:space="preserve">  </w:t>
      </w:r>
      <w:r w:rsidRPr="009B3097">
        <w:rPr>
          <w:rFonts w:ascii="Times New Roman" w:hAnsi="Times New Roman"/>
          <w:lang w:val="en-CA" w:eastAsia="ja-JP"/>
        </w:rPr>
        <w:t xml:space="preserve">When the anion gap is increased, it suggests the presence of </w:t>
      </w:r>
      <w:r w:rsidR="00EF5FA1" w:rsidRPr="009B3097">
        <w:rPr>
          <w:rFonts w:ascii="Times New Roman" w:hAnsi="Times New Roman"/>
          <w:lang w:val="en-CA" w:eastAsia="ja-JP"/>
        </w:rPr>
        <w:t xml:space="preserve">one or several </w:t>
      </w:r>
      <w:r w:rsidRPr="009B3097">
        <w:rPr>
          <w:rFonts w:ascii="Times New Roman" w:hAnsi="Times New Roman"/>
          <w:lang w:val="en-CA" w:eastAsia="ja-JP"/>
        </w:rPr>
        <w:t>anion</w:t>
      </w:r>
      <w:r w:rsidR="00EF5FA1" w:rsidRPr="009B3097">
        <w:rPr>
          <w:rFonts w:ascii="Times New Roman" w:hAnsi="Times New Roman"/>
          <w:lang w:val="en-CA" w:eastAsia="ja-JP"/>
        </w:rPr>
        <w:t xml:space="preserve">s that are </w:t>
      </w:r>
      <w:r w:rsidRPr="009B3097">
        <w:rPr>
          <w:rFonts w:ascii="Times New Roman" w:hAnsi="Times New Roman"/>
          <w:lang w:val="en-CA" w:eastAsia="ja-JP"/>
        </w:rPr>
        <w:t>normally not present in the blood.  T</w:t>
      </w:r>
      <w:r w:rsidR="004E3B76" w:rsidRPr="009B3097">
        <w:rPr>
          <w:rFonts w:ascii="Times New Roman" w:hAnsi="Times New Roman"/>
          <w:lang w:val="en-CA" w:eastAsia="ja-JP"/>
        </w:rPr>
        <w:t xml:space="preserve">he mnemonic for the differential diagnosis </w:t>
      </w:r>
      <w:r w:rsidRPr="009B3097">
        <w:rPr>
          <w:rFonts w:ascii="Times New Roman" w:hAnsi="Times New Roman"/>
          <w:lang w:val="en-CA" w:eastAsia="ja-JP"/>
        </w:rPr>
        <w:t>is MUDPILES (Methanol</w:t>
      </w:r>
      <w:r w:rsidR="00573582" w:rsidRPr="009B3097">
        <w:rPr>
          <w:rFonts w:ascii="Times New Roman" w:hAnsi="Times New Roman"/>
          <w:lang w:val="en-CA" w:eastAsia="ja-JP"/>
        </w:rPr>
        <w:t>/Metformin, Uremia, Diabetic ketoacidosis, Propylene glycol/Paraglutamic acid, Iron/Isoniazid, Lactate, Ethylene glycol/Ethanol ketoacidosis, Salicylates/So</w:t>
      </w:r>
      <w:r w:rsidR="002359CC" w:rsidRPr="009B3097">
        <w:rPr>
          <w:rFonts w:ascii="Times New Roman" w:hAnsi="Times New Roman"/>
          <w:lang w:val="en-CA" w:eastAsia="ja-JP"/>
        </w:rPr>
        <w:t xml:space="preserve">lvents/Starvation ketoacidosis) </w:t>
      </w:r>
      <w:r w:rsidR="00D47D27" w:rsidRPr="009B3097">
        <w:rPr>
          <w:rFonts w:ascii="Times New Roman" w:hAnsi="Times New Roman"/>
          <w:lang w:val="en-CA"/>
        </w:rPr>
        <w:fldChar w:fldCharType="begin"/>
      </w:r>
      <w:r w:rsidR="00D47D27" w:rsidRPr="009B3097">
        <w:rPr>
          <w:rFonts w:ascii="Times New Roman" w:hAnsi="Times New Roman"/>
          <w:lang w:val="en-CA"/>
        </w:rPr>
        <w:instrText xml:space="preserve"> ADDIN EN.CITE &lt;EndNote&gt;&lt;Cite&gt;&lt;Author&gt;Kraut&lt;/Author&gt;&lt;Year&gt;2007&lt;/Year&gt;&lt;RecNum&gt;730&lt;/RecNum&gt;&lt;DisplayText&gt;[1]&lt;/DisplayText&gt;&lt;record&gt;&lt;rec-number&gt;730&lt;/rec-number&gt;&lt;foreign-keys&gt;&lt;key app="EN" db-id="prxaw20rpx0z9ke0rzmx59x7f0szzrxfdt5a"&gt;730&lt;/key&gt;&lt;/foreign-keys&gt;&lt;ref-type name="Journal Article"&gt;17&lt;/ref-type&gt;&lt;contributors&gt;&lt;authors&gt;&lt;author&gt;Kraut, J. A.&lt;/author&gt;&lt;author&gt;Madias, N. E.&lt;/author&gt;&lt;/authors&gt;&lt;/contributors&gt;&lt;auth-address&gt;Medical and Research Services VHAGLA Healthcare System, UCLA Membrane Biology Laboratory, and Division of Nephrology VHAGLA Healthcare System and David Geffen School of Medicine, Los Angeles, California 90073, USA. jkraut@ucla.edu&lt;/auth-address&gt;&lt;titles&gt;&lt;title&gt;Serum anion gap: its uses and limitations in clinical medicine&lt;/title&gt;&lt;secondary-title&gt;Clin J Am Soc Nephrol&lt;/secondary-title&gt;&lt;alt-title&gt;Clinical journal of the American Society of Nephrology : CJASN&lt;/alt-title&gt;&lt;/titles&gt;&lt;periodical&gt;&lt;full-title&gt;Clin J Am Soc Nephrol&lt;/full-title&gt;&lt;abbr-1&gt;Clinical journal of the American Society of Nephrology : CJASN&lt;/abbr-1&gt;&lt;/periodical&gt;&lt;alt-periodical&gt;&lt;full-title&gt;Clin J Am Soc Nephrol&lt;/full-title&gt;&lt;abbr-1&gt;Clinical journal of the American Society of Nephrology : CJASN&lt;/abbr-1&gt;&lt;/alt-periodical&gt;&lt;pages&gt;162-74&lt;/pages&gt;&lt;volume&gt;2&lt;/volume&gt;&lt;number&gt;1&lt;/number&gt;&lt;edition&gt;2007/08/21&lt;/edition&gt;&lt;keywords&gt;&lt;keyword&gt;Acid-Base Equilibrium/*physiology&lt;/keyword&gt;&lt;keyword&gt;Acid-Base Imbalance/blood/*diagnosis&lt;/keyword&gt;&lt;keyword&gt;Chemistry, Clinical/*methods/standards&lt;/keyword&gt;&lt;keyword&gt;Hematologic Neoplasms/blood/*diagnosis&lt;/keyword&gt;&lt;keyword&gt;Humans&lt;/keyword&gt;&lt;keyword&gt;Models, Biological&lt;/keyword&gt;&lt;keyword&gt;Poisoning/blood/*diagnosis&lt;/keyword&gt;&lt;/keywords&gt;&lt;dates&gt;&lt;year&gt;2007&lt;/year&gt;&lt;pub-dates&gt;&lt;date&gt;Jan&lt;/date&gt;&lt;/pub-dates&gt;&lt;/dates&gt;&lt;isbn&gt;1555-905X (Electronic)&amp;#xD;1555-9041 (Linking)&lt;/isbn&gt;&lt;accession-num&gt;17699401&lt;/accession-num&gt;&lt;work-type&gt;Review&lt;/work-type&gt;&lt;urls&gt;&lt;related-urls&gt;&lt;url&gt;http://www.ncbi.nlm.nih.gov/pubmed/17699401&lt;/url&gt;&lt;/related-urls&gt;&lt;/urls&gt;&lt;electronic-resource-num&gt;10.2215/CJN.03020906&lt;/electronic-resource-num&gt;&lt;language&gt;eng&lt;/language&gt;&lt;/record&gt;&lt;/Cite&gt;&lt;/EndNote&gt;</w:instrText>
      </w:r>
      <w:r w:rsidR="00D47D27" w:rsidRPr="009B3097">
        <w:rPr>
          <w:rFonts w:ascii="Times New Roman" w:hAnsi="Times New Roman"/>
          <w:lang w:val="en-CA"/>
        </w:rPr>
        <w:fldChar w:fldCharType="separate"/>
      </w:r>
      <w:r w:rsidR="00D47D27" w:rsidRPr="009B3097">
        <w:rPr>
          <w:rFonts w:ascii="Times New Roman" w:hAnsi="Times New Roman"/>
          <w:noProof/>
          <w:lang w:val="en-CA"/>
        </w:rPr>
        <w:t>[</w:t>
      </w:r>
      <w:hyperlink w:anchor="_ENREF_1" w:tooltip="Kraut, 2007 #730" w:history="1">
        <w:r w:rsidR="00D47D27" w:rsidRPr="009B3097">
          <w:rPr>
            <w:rFonts w:ascii="Times New Roman" w:hAnsi="Times New Roman"/>
            <w:noProof/>
            <w:lang w:val="en-CA"/>
          </w:rPr>
          <w:t>1</w:t>
        </w:r>
      </w:hyperlink>
      <w:r w:rsidR="00D47D27" w:rsidRPr="009B3097">
        <w:rPr>
          <w:rFonts w:ascii="Times New Roman" w:hAnsi="Times New Roman"/>
          <w:noProof/>
          <w:lang w:val="en-CA"/>
        </w:rPr>
        <w:t>]</w:t>
      </w:r>
      <w:r w:rsidR="00D47D27" w:rsidRPr="009B3097">
        <w:rPr>
          <w:rFonts w:ascii="Times New Roman" w:hAnsi="Times New Roman"/>
          <w:lang w:val="en-CA"/>
        </w:rPr>
        <w:fldChar w:fldCharType="end"/>
      </w:r>
      <w:r w:rsidR="002359CC" w:rsidRPr="009B3097">
        <w:rPr>
          <w:rFonts w:ascii="Times New Roman" w:hAnsi="Times New Roman"/>
          <w:lang w:val="en-CA"/>
        </w:rPr>
        <w:t>.</w:t>
      </w:r>
    </w:p>
    <w:p w14:paraId="52ECCE4D" w14:textId="77777777" w:rsidR="003A0F37" w:rsidRPr="009B3097" w:rsidRDefault="003A0F37" w:rsidP="000C414B">
      <w:pPr>
        <w:pStyle w:val="Brdtext"/>
        <w:ind w:right="-432"/>
        <w:rPr>
          <w:rFonts w:ascii="Times New Roman" w:hAnsi="Times New Roman"/>
          <w:lang w:val="en-CA" w:eastAsia="ja-JP"/>
        </w:rPr>
      </w:pPr>
    </w:p>
    <w:p w14:paraId="682661D9" w14:textId="3F0725F5" w:rsidR="004E3B76" w:rsidRPr="009B3097" w:rsidRDefault="00E00694" w:rsidP="000C414B">
      <w:pPr>
        <w:pStyle w:val="Brdtext"/>
        <w:ind w:right="-432"/>
        <w:rPr>
          <w:rFonts w:ascii="Times New Roman" w:hAnsi="Times New Roman"/>
          <w:b/>
          <w:lang w:val="en-CA" w:eastAsia="ja-JP"/>
        </w:rPr>
      </w:pPr>
      <w:r w:rsidRPr="009B3097">
        <w:rPr>
          <w:rFonts w:ascii="Times New Roman" w:hAnsi="Times New Roman"/>
          <w:b/>
          <w:lang w:val="en-CA" w:eastAsia="ja-JP"/>
        </w:rPr>
        <w:t>2-Delta G</w:t>
      </w:r>
      <w:r w:rsidR="004E3B76" w:rsidRPr="009B3097">
        <w:rPr>
          <w:rFonts w:ascii="Times New Roman" w:hAnsi="Times New Roman"/>
          <w:b/>
          <w:lang w:val="en-CA" w:eastAsia="ja-JP"/>
        </w:rPr>
        <w:t>ap</w:t>
      </w:r>
    </w:p>
    <w:p w14:paraId="2F94B68E" w14:textId="032987FE" w:rsidR="003A0F37" w:rsidRPr="009B3097" w:rsidRDefault="00AD33C7" w:rsidP="000C414B">
      <w:pPr>
        <w:pStyle w:val="Brdtext"/>
        <w:ind w:right="-432"/>
        <w:rPr>
          <w:rFonts w:ascii="Times New Roman" w:hAnsi="Times New Roman"/>
          <w:lang w:val="en-CA" w:eastAsia="ja-JP"/>
        </w:rPr>
      </w:pPr>
      <w:r w:rsidRPr="009B3097">
        <w:rPr>
          <w:rFonts w:ascii="Times New Roman" w:hAnsi="Times New Roman"/>
          <w:lang w:val="en-CA" w:eastAsia="ja-JP"/>
        </w:rPr>
        <w:t>This patient’s anion gap</w:t>
      </w:r>
      <w:r w:rsidR="004E3B76" w:rsidRPr="009B3097">
        <w:rPr>
          <w:rFonts w:ascii="Times New Roman" w:hAnsi="Times New Roman"/>
          <w:lang w:val="en-CA" w:eastAsia="ja-JP"/>
        </w:rPr>
        <w:t xml:space="preserve"> (Na - Cl - HCO3)</w:t>
      </w:r>
      <w:r w:rsidRPr="009B3097">
        <w:rPr>
          <w:rFonts w:ascii="Times New Roman" w:hAnsi="Times New Roman"/>
          <w:lang w:val="en-CA" w:eastAsia="ja-JP"/>
        </w:rPr>
        <w:t xml:space="preserve"> is 19</w:t>
      </w:r>
      <w:r w:rsidR="003A0F37" w:rsidRPr="009B3097">
        <w:rPr>
          <w:rFonts w:ascii="Times New Roman" w:hAnsi="Times New Roman"/>
          <w:lang w:val="en-CA" w:eastAsia="ja-JP"/>
        </w:rPr>
        <w:t xml:space="preserve"> mmo</w:t>
      </w:r>
      <w:r w:rsidR="00021EC1" w:rsidRPr="009B3097">
        <w:rPr>
          <w:rFonts w:ascii="Times New Roman" w:hAnsi="Times New Roman"/>
          <w:lang w:val="en-CA" w:eastAsia="ja-JP"/>
        </w:rPr>
        <w:t xml:space="preserve">l/L.  A normal anion gap in a 70 year-old is </w:t>
      </w:r>
      <w:r w:rsidR="003A0F37" w:rsidRPr="009B3097">
        <w:rPr>
          <w:rFonts w:ascii="Times New Roman" w:hAnsi="Times New Roman"/>
          <w:lang w:val="en-CA" w:eastAsia="ja-JP"/>
        </w:rPr>
        <w:t>12 mmol/L.  The pati</w:t>
      </w:r>
      <w:r w:rsidRPr="009B3097">
        <w:rPr>
          <w:rFonts w:ascii="Times New Roman" w:hAnsi="Times New Roman"/>
          <w:lang w:val="en-CA" w:eastAsia="ja-JP"/>
        </w:rPr>
        <w:t>ent has an anion excess of 19</w:t>
      </w:r>
      <w:r w:rsidR="00021EC1" w:rsidRPr="009B3097">
        <w:rPr>
          <w:rFonts w:ascii="Times New Roman" w:hAnsi="Times New Roman"/>
          <w:lang w:val="en-CA" w:eastAsia="ja-JP"/>
        </w:rPr>
        <w:t xml:space="preserve"> – 12</w:t>
      </w:r>
      <w:r w:rsidR="003A0F37" w:rsidRPr="009B3097">
        <w:rPr>
          <w:rFonts w:ascii="Times New Roman" w:hAnsi="Times New Roman"/>
          <w:lang w:val="en-CA" w:eastAsia="ja-JP"/>
        </w:rPr>
        <w:t xml:space="preserve"> mmol/L.  This </w:t>
      </w:r>
      <w:r w:rsidR="00CB6E33" w:rsidRPr="009B3097">
        <w:rPr>
          <w:rFonts w:ascii="Times New Roman" w:hAnsi="Times New Roman"/>
          <w:lang w:val="en-CA" w:eastAsia="ja-JP"/>
        </w:rPr>
        <w:t>“excess anion gap”</w:t>
      </w:r>
      <w:r w:rsidR="003A0F37" w:rsidRPr="009B3097">
        <w:rPr>
          <w:rFonts w:ascii="Times New Roman" w:hAnsi="Times New Roman"/>
          <w:lang w:val="en-CA" w:eastAsia="ja-JP"/>
        </w:rPr>
        <w:t xml:space="preserve"> is </w:t>
      </w:r>
      <w:r w:rsidR="00CB6E33" w:rsidRPr="009B3097">
        <w:rPr>
          <w:rFonts w:ascii="Times New Roman" w:hAnsi="Times New Roman"/>
          <w:lang w:val="en-CA" w:eastAsia="ja-JP"/>
        </w:rPr>
        <w:t xml:space="preserve">also </w:t>
      </w:r>
      <w:r w:rsidR="003A0F37" w:rsidRPr="009B3097">
        <w:rPr>
          <w:rFonts w:ascii="Times New Roman" w:hAnsi="Times New Roman"/>
          <w:lang w:val="en-CA" w:eastAsia="ja-JP"/>
        </w:rPr>
        <w:t>referred to as the “delta gap.”</w:t>
      </w:r>
      <w:r w:rsidR="000C414B" w:rsidRPr="009B3097">
        <w:rPr>
          <w:rFonts w:ascii="Times New Roman" w:hAnsi="Times New Roman"/>
          <w:lang w:val="en-CA" w:eastAsia="ja-JP"/>
        </w:rPr>
        <w:t xml:space="preserve">  </w:t>
      </w:r>
      <w:r w:rsidR="00CC409B" w:rsidRPr="009B3097">
        <w:rPr>
          <w:rFonts w:ascii="Times New Roman" w:hAnsi="Times New Roman"/>
          <w:lang w:val="en-CA" w:eastAsia="ja-JP"/>
        </w:rPr>
        <w:t xml:space="preserve">The lactate </w:t>
      </w:r>
      <w:r w:rsidR="004E3B76" w:rsidRPr="009B3097">
        <w:rPr>
          <w:rFonts w:ascii="Times New Roman" w:hAnsi="Times New Roman"/>
          <w:lang w:val="en-CA" w:eastAsia="ja-JP"/>
        </w:rPr>
        <w:t>of</w:t>
      </w:r>
      <w:r w:rsidR="00CC409B" w:rsidRPr="009B3097">
        <w:rPr>
          <w:rFonts w:ascii="Times New Roman" w:hAnsi="Times New Roman"/>
          <w:lang w:val="en-CA" w:eastAsia="ja-JP"/>
        </w:rPr>
        <w:t xml:space="preserve"> 5.5</w:t>
      </w:r>
      <w:r w:rsidR="000C414B" w:rsidRPr="009B3097">
        <w:rPr>
          <w:rFonts w:ascii="Times New Roman" w:hAnsi="Times New Roman"/>
          <w:lang w:val="en-CA" w:eastAsia="ja-JP"/>
        </w:rPr>
        <w:t xml:space="preserve"> mmol/L </w:t>
      </w:r>
      <w:r w:rsidR="004E3B76" w:rsidRPr="009B3097">
        <w:rPr>
          <w:rFonts w:ascii="Times New Roman" w:hAnsi="Times New Roman"/>
          <w:lang w:val="en-CA" w:eastAsia="ja-JP"/>
        </w:rPr>
        <w:t>accounts for most of delta gap, and thereby the presence of ketones (and hence diabetic ketoacidosis) can be ruled-out.</w:t>
      </w:r>
    </w:p>
    <w:p w14:paraId="4A13AB17" w14:textId="77777777" w:rsidR="003A0F37" w:rsidRPr="009B3097" w:rsidRDefault="003A0F37" w:rsidP="00D73CB5">
      <w:pPr>
        <w:tabs>
          <w:tab w:val="left" w:pos="8505"/>
        </w:tabs>
        <w:ind w:right="-715"/>
        <w:rPr>
          <w:b/>
          <w:sz w:val="24"/>
          <w:szCs w:val="24"/>
          <w:lang w:val="en-CA" w:eastAsia="ja-JP"/>
        </w:rPr>
      </w:pPr>
    </w:p>
    <w:p w14:paraId="614B2965" w14:textId="7E0E7E42" w:rsidR="000C414B" w:rsidRPr="009B3097" w:rsidRDefault="00E00694" w:rsidP="000C414B">
      <w:pPr>
        <w:tabs>
          <w:tab w:val="left" w:pos="8505"/>
        </w:tabs>
        <w:ind w:right="-715"/>
        <w:rPr>
          <w:b/>
          <w:sz w:val="24"/>
          <w:szCs w:val="24"/>
          <w:lang w:val="en-CA" w:eastAsia="ja-JP"/>
        </w:rPr>
      </w:pPr>
      <w:r w:rsidRPr="009B3097">
        <w:rPr>
          <w:b/>
          <w:sz w:val="24"/>
          <w:szCs w:val="24"/>
          <w:lang w:val="en-CA" w:eastAsia="ja-JP"/>
        </w:rPr>
        <w:t>3-HCO3 + Delta Gap</w:t>
      </w:r>
    </w:p>
    <w:p w14:paraId="6CE9D2DC" w14:textId="1E4C2FAF" w:rsidR="000C414B" w:rsidRPr="009B3097" w:rsidRDefault="00D95E00" w:rsidP="00EF5FA1">
      <w:pPr>
        <w:pStyle w:val="Brdtext"/>
        <w:rPr>
          <w:rFonts w:ascii="Times New Roman" w:hAnsi="Times New Roman"/>
          <w:lang w:val="en-CA" w:eastAsia="ja-JP"/>
        </w:rPr>
      </w:pPr>
      <w:r w:rsidRPr="009B3097">
        <w:rPr>
          <w:rFonts w:ascii="Times New Roman" w:hAnsi="Times New Roman"/>
          <w:lang w:val="en-CA" w:eastAsia="ja-JP"/>
        </w:rPr>
        <w:t>Adding the HCO3 to the delta g</w:t>
      </w:r>
      <w:r w:rsidR="00961942" w:rsidRPr="009B3097">
        <w:rPr>
          <w:rFonts w:ascii="Times New Roman" w:hAnsi="Times New Roman"/>
          <w:lang w:val="en-CA" w:eastAsia="ja-JP"/>
        </w:rPr>
        <w:t>ap can reveal</w:t>
      </w:r>
      <w:r w:rsidRPr="009B3097">
        <w:rPr>
          <w:rFonts w:ascii="Times New Roman" w:hAnsi="Times New Roman"/>
          <w:lang w:val="en-CA" w:eastAsia="ja-JP"/>
        </w:rPr>
        <w:t xml:space="preserve"> an underlying metabolic alkalosis (if the sum exceeds 26 mmol/L) or an underlying hyperchloremic (non-anion gap) metabolic acidosis (if the sum is less than 22 mmol/L.  7 + 14 is 21 mmol/L, suggesting the presence of a hyperchloremic metabolic acidosis, which could be due to gastrointestinal loss of HCO3 (e.g. diarrhea) or renal loss of HCO</w:t>
      </w:r>
      <w:r w:rsidR="002359CC" w:rsidRPr="009B3097">
        <w:rPr>
          <w:rFonts w:ascii="Times New Roman" w:hAnsi="Times New Roman"/>
          <w:lang w:val="en-CA" w:eastAsia="ja-JP"/>
        </w:rPr>
        <w:t xml:space="preserve">3 (e.g. renal tubular acidosis) </w:t>
      </w:r>
      <w:r w:rsidR="00D47D27" w:rsidRPr="009B3097">
        <w:rPr>
          <w:rFonts w:ascii="Times New Roman" w:hAnsi="Times New Roman"/>
        </w:rPr>
        <w:fldChar w:fldCharType="begin"/>
      </w:r>
      <w:r w:rsidR="00D47D27" w:rsidRPr="009B3097">
        <w:rPr>
          <w:rFonts w:ascii="Times New Roman" w:hAnsi="Times New Roman"/>
        </w:rPr>
        <w:instrText xml:space="preserve"> ADDIN EN.CITE &lt;EndNote&gt;&lt;Cite&gt;&lt;Author&gt;Kraut&lt;/Author&gt;&lt;Year&gt;2007&lt;/Year&gt;&lt;RecNum&gt;730&lt;/RecNum&gt;&lt;DisplayText&gt;[1]&lt;/DisplayText&gt;&lt;record&gt;&lt;rec-number&gt;730&lt;/rec-number&gt;&lt;foreign-keys&gt;&lt;key app="EN" db-id="prxaw20rpx0z9ke0rzmx59x7f0szzrxfdt5a"&gt;730&lt;/key&gt;&lt;/foreign-keys&gt;&lt;ref-type name="Journal Article"&gt;17&lt;/ref-type&gt;&lt;contributors&gt;&lt;authors&gt;&lt;author&gt;Kraut, J. A.&lt;/author&gt;&lt;author&gt;Madias, N. E.&lt;/author&gt;&lt;/authors&gt;&lt;/contributors&gt;&lt;auth-address&gt;Medical and Research Services VHAGLA Healthcare System, UCLA Membrane Biology Laboratory, and Division of Nephrology VHAGLA Healthcare System and David Geffen School of Medicine, Los Angeles, California 90073, USA. jkraut@ucla.edu&lt;/auth-address&gt;&lt;titles&gt;&lt;title&gt;Serum anion gap: its uses and limitations in clinical medicine&lt;/title&gt;&lt;secondary-title&gt;Clin J Am Soc Nephrol&lt;/secondary-title&gt;&lt;alt-title&gt;Clinical journal of the American Society of Nephrology : CJASN&lt;/alt-title&gt;&lt;/titles&gt;&lt;periodical&gt;&lt;full-title&gt;Clin J Am Soc Nephrol&lt;/full-title&gt;&lt;abbr-1&gt;Clinical journal of the American Society of Nephrology : CJASN&lt;/abbr-1&gt;&lt;/periodical&gt;&lt;alt-periodical&gt;&lt;full-title&gt;Clin J Am Soc Nephrol&lt;/full-title&gt;&lt;abbr-1&gt;Clinical journal of the American Society of Nephrology : CJASN&lt;/abbr-1&gt;&lt;/alt-periodical&gt;&lt;pages&gt;162-74&lt;/pages&gt;&lt;volume&gt;2&lt;/volume&gt;&lt;number&gt;1&lt;/number&gt;&lt;edition&gt;2007/08/21&lt;/edition&gt;&lt;keywords&gt;&lt;keyword&gt;Acid-Base Equilibrium/*physiology&lt;/keyword&gt;&lt;keyword&gt;Acid-Base Imbalance/blood/*diagnosis&lt;/keyword&gt;&lt;keyword&gt;Chemistry, Clinical/*methods/standards&lt;/keyword&gt;&lt;keyword&gt;Hematologic Neoplasms/blood/*diagnosis&lt;/keyword&gt;&lt;keyword&gt;Humans&lt;/keyword&gt;&lt;keyword&gt;Models, Biological&lt;/keyword&gt;&lt;keyword&gt;Poisoning/blood/*diagnosis&lt;/keyword&gt;&lt;/keywords&gt;&lt;dates&gt;&lt;year&gt;2007&lt;/year&gt;&lt;pub-dates&gt;&lt;date&gt;Jan&lt;/date&gt;&lt;/pub-dates&gt;&lt;/dates&gt;&lt;isbn&gt;1555-905X (Electronic)&amp;#xD;1555-9041 (Linking)&lt;/isbn&gt;&lt;accession-num&gt;17699401&lt;/accession-num&gt;&lt;work-type&gt;Review&lt;/work-type&gt;&lt;urls&gt;&lt;related-urls&gt;&lt;url&gt;http://www.ncbi.nlm.nih.gov/pubmed/17699401&lt;/url&gt;&lt;/related-urls&gt;&lt;/urls&gt;&lt;electronic-resource-num&gt;10.2215/CJN.03020906&lt;/electronic-resource-num&gt;&lt;language&gt;eng&lt;/language&gt;&lt;/record&gt;&lt;/Cite&gt;&lt;/EndNote&gt;</w:instrText>
      </w:r>
      <w:r w:rsidR="00D47D27" w:rsidRPr="009B3097">
        <w:rPr>
          <w:rFonts w:ascii="Times New Roman" w:hAnsi="Times New Roman"/>
        </w:rPr>
        <w:fldChar w:fldCharType="separate"/>
      </w:r>
      <w:r w:rsidR="00D47D27" w:rsidRPr="009B3097">
        <w:rPr>
          <w:rFonts w:ascii="Times New Roman" w:hAnsi="Times New Roman"/>
          <w:noProof/>
        </w:rPr>
        <w:t>[</w:t>
      </w:r>
      <w:hyperlink w:anchor="_ENREF_1" w:tooltip="Kraut, 2007 #730" w:history="1">
        <w:r w:rsidR="00D47D27" w:rsidRPr="009B3097">
          <w:rPr>
            <w:rFonts w:ascii="Times New Roman" w:hAnsi="Times New Roman"/>
            <w:noProof/>
          </w:rPr>
          <w:t>1</w:t>
        </w:r>
      </w:hyperlink>
      <w:r w:rsidR="00D47D27" w:rsidRPr="009B3097">
        <w:rPr>
          <w:rFonts w:ascii="Times New Roman" w:hAnsi="Times New Roman"/>
          <w:noProof/>
        </w:rPr>
        <w:t>]</w:t>
      </w:r>
      <w:r w:rsidR="00D47D27" w:rsidRPr="009B3097">
        <w:rPr>
          <w:rFonts w:ascii="Times New Roman" w:hAnsi="Times New Roman"/>
        </w:rPr>
        <w:fldChar w:fldCharType="end"/>
      </w:r>
      <w:r w:rsidR="002359CC" w:rsidRPr="009B3097">
        <w:rPr>
          <w:rFonts w:ascii="Times New Roman" w:hAnsi="Times New Roman"/>
        </w:rPr>
        <w:t>.</w:t>
      </w:r>
    </w:p>
    <w:p w14:paraId="0A81FAB2" w14:textId="77777777" w:rsidR="00D73CB5" w:rsidRPr="009B3097" w:rsidRDefault="00D73CB5" w:rsidP="00D73CB5">
      <w:pPr>
        <w:tabs>
          <w:tab w:val="left" w:pos="8505"/>
        </w:tabs>
        <w:ind w:right="-715"/>
        <w:rPr>
          <w:sz w:val="24"/>
          <w:szCs w:val="24"/>
          <w:lang w:val="en-CA" w:eastAsia="ja-JP"/>
        </w:rPr>
      </w:pPr>
    </w:p>
    <w:p w14:paraId="57DE96AE" w14:textId="7D0D95F1" w:rsidR="006C349B" w:rsidRPr="009B3097" w:rsidRDefault="006C349B" w:rsidP="00D73CB5">
      <w:pPr>
        <w:tabs>
          <w:tab w:val="left" w:pos="8505"/>
        </w:tabs>
        <w:ind w:right="-715"/>
        <w:rPr>
          <w:b/>
          <w:sz w:val="24"/>
          <w:szCs w:val="24"/>
          <w:lang w:val="en-CA" w:eastAsia="ja-JP"/>
        </w:rPr>
      </w:pPr>
      <w:r w:rsidRPr="009B3097">
        <w:rPr>
          <w:b/>
          <w:sz w:val="24"/>
          <w:szCs w:val="24"/>
          <w:lang w:val="en-CA" w:eastAsia="ja-JP"/>
        </w:rPr>
        <w:t>4-Effective Osmolarity</w:t>
      </w:r>
    </w:p>
    <w:p w14:paraId="114772D8" w14:textId="02BF5208" w:rsidR="006C349B" w:rsidRPr="009B3097" w:rsidRDefault="002E36BE" w:rsidP="00D73CB5">
      <w:pPr>
        <w:tabs>
          <w:tab w:val="left" w:pos="8505"/>
        </w:tabs>
        <w:ind w:right="-715"/>
        <w:rPr>
          <w:sz w:val="24"/>
          <w:szCs w:val="24"/>
        </w:rPr>
      </w:pPr>
      <w:r w:rsidRPr="009B3097">
        <w:rPr>
          <w:sz w:val="24"/>
          <w:szCs w:val="24"/>
          <w:lang w:val="en-CA" w:eastAsia="ja-JP"/>
        </w:rPr>
        <w:t xml:space="preserve">Effective osmolarity is calculated as (2 x Na) + glucose </w:t>
      </w:r>
      <w:r w:rsidR="00D47D27" w:rsidRPr="009B3097">
        <w:rPr>
          <w:sz w:val="24"/>
          <w:szCs w:val="24"/>
        </w:rPr>
        <w:fldChar w:fldCharType="begin">
          <w:fldData xml:space="preserve">PEVuZE5vdGU+PENpdGU+PEF1dGhvcj5TcGFzb3Zza2k8L0F1dGhvcj48WWVhcj4yMDE0PC9ZZWFy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</w:fldData>
        </w:fldChar>
      </w:r>
      <w:r w:rsidR="00D47D27" w:rsidRPr="009B3097">
        <w:rPr>
          <w:sz w:val="24"/>
          <w:szCs w:val="24"/>
        </w:rPr>
        <w:instrText xml:space="preserve"> ADDIN EN.CITE </w:instrText>
      </w:r>
      <w:r w:rsidR="00D47D27" w:rsidRPr="009B3097">
        <w:rPr>
          <w:sz w:val="24"/>
          <w:szCs w:val="24"/>
        </w:rPr>
        <w:fldChar w:fldCharType="begin">
          <w:fldData xml:space="preserve">PEVuZE5vdGU+PENpdGU+PEF1dGhvcj5TcGFzb3Zza2k8L0F1dGhvcj48WWVhcj4yMDE0PC9ZZWFy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</w:fldData>
        </w:fldChar>
      </w:r>
      <w:r w:rsidR="00D47D27" w:rsidRPr="009B3097">
        <w:rPr>
          <w:sz w:val="24"/>
          <w:szCs w:val="24"/>
        </w:rPr>
        <w:instrText xml:space="preserve"> ADDIN EN.CITE.DATA </w:instrText>
      </w:r>
      <w:r w:rsidR="00D47D27" w:rsidRPr="009B3097">
        <w:rPr>
          <w:sz w:val="24"/>
          <w:szCs w:val="24"/>
        </w:rPr>
      </w:r>
      <w:r w:rsidR="00D47D27" w:rsidRPr="009B3097">
        <w:rPr>
          <w:sz w:val="24"/>
          <w:szCs w:val="24"/>
        </w:rPr>
        <w:fldChar w:fldCharType="end"/>
      </w:r>
      <w:r w:rsidR="00D47D27" w:rsidRPr="009B3097">
        <w:rPr>
          <w:sz w:val="24"/>
          <w:szCs w:val="24"/>
        </w:rPr>
      </w:r>
      <w:r w:rsidR="00D47D27" w:rsidRPr="009B3097">
        <w:rPr>
          <w:sz w:val="24"/>
          <w:szCs w:val="24"/>
        </w:rPr>
        <w:fldChar w:fldCharType="separate"/>
      </w:r>
      <w:r w:rsidR="00D47D27" w:rsidRPr="009B3097">
        <w:rPr>
          <w:noProof/>
          <w:sz w:val="24"/>
          <w:szCs w:val="24"/>
        </w:rPr>
        <w:t>[</w:t>
      </w:r>
      <w:hyperlink w:anchor="_ENREF_2" w:tooltip="Spasovski, 2014 #645" w:history="1">
        <w:r w:rsidR="00D47D27" w:rsidRPr="009B3097">
          <w:rPr>
            <w:noProof/>
            <w:sz w:val="24"/>
            <w:szCs w:val="24"/>
          </w:rPr>
          <w:t>2</w:t>
        </w:r>
      </w:hyperlink>
      <w:r w:rsidR="00D47D27" w:rsidRPr="009B3097">
        <w:rPr>
          <w:noProof/>
          <w:sz w:val="24"/>
          <w:szCs w:val="24"/>
        </w:rPr>
        <w:t>]</w:t>
      </w:r>
      <w:r w:rsidR="00D47D27" w:rsidRPr="009B3097">
        <w:rPr>
          <w:sz w:val="24"/>
          <w:szCs w:val="24"/>
        </w:rPr>
        <w:fldChar w:fldCharType="end"/>
      </w:r>
      <w:r w:rsidRPr="009B3097">
        <w:rPr>
          <w:sz w:val="24"/>
          <w:szCs w:val="24"/>
          <w:lang w:val="en-CA" w:eastAsia="ja-JP"/>
        </w:rPr>
        <w:t xml:space="preserve">.  Effective osmolarity &gt; 320 mmol/L is consistent with HHS </w:t>
      </w:r>
      <w:r w:rsidR="00D47D27" w:rsidRPr="009B3097">
        <w:rPr>
          <w:sz w:val="24"/>
          <w:szCs w:val="24"/>
        </w:rPr>
        <w:fldChar w:fldCharType="begin"/>
      </w:r>
      <w:r w:rsidR="00D47D27" w:rsidRPr="009B3097">
        <w:rPr>
          <w:sz w:val="24"/>
          <w:szCs w:val="24"/>
        </w:rPr>
        <w:instrText xml:space="preserve"> ADDIN EN.CITE &lt;EndNote&gt;&lt;Cite&gt;&lt;Author&gt;Kitabchi&lt;/Author&gt;&lt;Year&gt;2009&lt;/Year&gt;&lt;RecNum&gt;1134&lt;/RecNum&gt;&lt;DisplayText&gt;[3]&lt;/DisplayText&gt;&lt;record&gt;&lt;rec-number&gt;1134&lt;/rec-number&gt;&lt;foreign-keys&gt;&lt;key app="EN" db-id="prxaw20rpx0z9ke0rzmx59x7f0szzrxfdt5a"&gt;1134&lt;/key&gt;&lt;/foreign-keys&gt;&lt;ref-type name="Journal Article"&gt;17&lt;/ref-type&gt;&lt;contributors&gt;&lt;authors&gt;&lt;author&gt;Kitabchi, A. E.&lt;/author&gt;&lt;author&gt;Umpierrez, G. E.&lt;/author&gt;&lt;author&gt;Miles, J. M.&lt;/author&gt;&lt;author&gt;Fisher, J. N.&lt;/author&gt;&lt;/authors&gt;&lt;/contributors&gt;&lt;auth-address&gt;Division of Endocrinology, Diabetes and Metabolism, Department of Medicine, University of Tennessee Health Science Center, Memphis, Tennessee, USA. akitabchi@utmem.edu&lt;/auth-address&gt;&lt;titles&gt;&lt;title&gt;Hyperglycemic crises in adult patients with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1335-43&lt;/pages&gt;&lt;volume&gt;32&lt;/volume&gt;&lt;number&gt;7&lt;/number&gt;&lt;edition&gt;2009/07/01&lt;/edition&gt;&lt;keywords&gt;&lt;keyword&gt;Adult&lt;/keyword&gt;&lt;keyword&gt;Aged&lt;/keyword&gt;&lt;keyword&gt;Diabetes Complications/diagnosis&lt;/keyword&gt;&lt;keyword&gt;Diabetes Mellitus, Type 1/complications&lt;/keyword&gt;&lt;keyword&gt;Diabetes Mellitus, Type 2/complications&lt;/keyword&gt;&lt;keyword&gt;Diabetic Ketoacidosis/*diagnosis&lt;/keyword&gt;&lt;keyword&gt;Diagnosis, Differential&lt;/keyword&gt;&lt;keyword&gt;Humans&lt;/keyword&gt;&lt;keyword&gt;Hyperglycemia/*diagnosis&lt;/keyword&gt;&lt;keyword&gt;Middle Aged&lt;/keyword&gt;&lt;keyword&gt;Young Adult&lt;/keyword&gt;&lt;/keywords&gt;&lt;dates&gt;&lt;year&gt;2009&lt;/year&gt;&lt;pub-dates&gt;&lt;date&gt;Jul&lt;/date&gt;&lt;/pub-dates&gt;&lt;/dates&gt;&lt;isbn&gt;1935-5548 (Electronic)&amp;#xD;0149-5992 (Linking)&lt;/isbn&gt;&lt;accession-num&gt;19564476&lt;/accession-num&gt;&lt;work-type&gt;Review&lt;/work-type&gt;&lt;urls&gt;&lt;related-urls&gt;&lt;url&gt;http://www.ncbi.nlm.nih.gov/pubmed/19564476&lt;/url&gt;&lt;/related-urls&gt;&lt;/urls&gt;&lt;custom2&gt;2699725&lt;/custom2&gt;&lt;electronic-resource-num&gt;10.2337/dc09-9032&lt;/electronic-resource-num&gt;&lt;language&gt;eng&lt;/language&gt;&lt;/record&gt;&lt;/Cite&gt;&lt;/EndNote&gt;</w:instrText>
      </w:r>
      <w:r w:rsidR="00D47D27" w:rsidRPr="009B3097">
        <w:rPr>
          <w:sz w:val="24"/>
          <w:szCs w:val="24"/>
        </w:rPr>
        <w:fldChar w:fldCharType="separate"/>
      </w:r>
      <w:r w:rsidR="00D47D27" w:rsidRPr="009B3097">
        <w:rPr>
          <w:noProof/>
          <w:sz w:val="24"/>
          <w:szCs w:val="24"/>
        </w:rPr>
        <w:t>[</w:t>
      </w:r>
      <w:hyperlink w:anchor="_ENREF_3" w:tooltip="Kitabchi, 2009 #1134" w:history="1">
        <w:r w:rsidR="00D47D27" w:rsidRPr="009B3097">
          <w:rPr>
            <w:noProof/>
            <w:sz w:val="24"/>
            <w:szCs w:val="24"/>
          </w:rPr>
          <w:t>3</w:t>
        </w:r>
      </w:hyperlink>
      <w:r w:rsidR="00D47D27" w:rsidRPr="009B3097">
        <w:rPr>
          <w:noProof/>
          <w:sz w:val="24"/>
          <w:szCs w:val="24"/>
        </w:rPr>
        <w:t>]</w:t>
      </w:r>
      <w:r w:rsidR="00D47D27" w:rsidRPr="009B3097">
        <w:rPr>
          <w:sz w:val="24"/>
          <w:szCs w:val="24"/>
        </w:rPr>
        <w:fldChar w:fldCharType="end"/>
      </w:r>
      <w:r w:rsidRPr="009B3097">
        <w:rPr>
          <w:sz w:val="24"/>
          <w:szCs w:val="24"/>
        </w:rPr>
        <w:t>.</w:t>
      </w:r>
    </w:p>
    <w:p w14:paraId="1559E4B7" w14:textId="01B12B81" w:rsidR="00BD0478" w:rsidRPr="009B3097" w:rsidRDefault="00D73CB5" w:rsidP="00D47D27">
      <w:pPr>
        <w:tabs>
          <w:tab w:val="left" w:pos="8505"/>
          <w:tab w:val="left" w:pos="10080"/>
          <w:tab w:val="left" w:pos="10800"/>
          <w:tab w:val="left" w:pos="11520"/>
        </w:tabs>
        <w:ind w:right="-715"/>
        <w:jc w:val="center"/>
        <w:rPr>
          <w:b/>
          <w:sz w:val="28"/>
          <w:szCs w:val="24"/>
          <w:lang w:val="en-CA" w:eastAsia="ja-JP"/>
        </w:rPr>
      </w:pPr>
      <w:r w:rsidRPr="009B3097">
        <w:rPr>
          <w:sz w:val="24"/>
          <w:szCs w:val="24"/>
          <w:lang w:val="en-CA" w:eastAsia="ja-JP"/>
        </w:rPr>
        <w:br w:type="page"/>
      </w:r>
      <w:r w:rsidR="00BD0478" w:rsidRPr="009B3097">
        <w:rPr>
          <w:b/>
          <w:sz w:val="28"/>
          <w:szCs w:val="24"/>
          <w:lang w:val="en-CA" w:eastAsia="ja-JP"/>
        </w:rPr>
        <w:lastRenderedPageBreak/>
        <w:t>70 YEAR-OLD MAN WITH CONFUSION</w:t>
      </w:r>
    </w:p>
    <w:p w14:paraId="3A367F6B" w14:textId="77777777" w:rsidR="00D73CB5" w:rsidRPr="009B3097" w:rsidRDefault="00D73CB5" w:rsidP="00D73CB5">
      <w:pPr>
        <w:tabs>
          <w:tab w:val="left" w:pos="8505"/>
        </w:tabs>
        <w:ind w:right="-715"/>
        <w:rPr>
          <w:sz w:val="24"/>
          <w:szCs w:val="24"/>
          <w:lang w:val="en-CA" w:eastAsia="ja-JP"/>
        </w:rPr>
      </w:pPr>
    </w:p>
    <w:p w14:paraId="57C30E67" w14:textId="77777777" w:rsidR="00D73CB5" w:rsidRPr="009B3097" w:rsidRDefault="00D73CB5" w:rsidP="00D73CB5">
      <w:pPr>
        <w:pStyle w:val="Brdtext"/>
        <w:ind w:right="-715"/>
        <w:rPr>
          <w:rFonts w:ascii="Times New Roman" w:hAnsi="Times New Roman"/>
          <w:b/>
          <w:lang w:val="en-CA" w:eastAsia="ja-JP"/>
        </w:rPr>
      </w:pPr>
      <w:r w:rsidRPr="009B3097">
        <w:rPr>
          <w:rFonts w:ascii="Times New Roman" w:hAnsi="Times New Roman"/>
          <w:b/>
          <w:lang w:val="en-CA" w:eastAsia="ja-JP"/>
        </w:rPr>
        <w:t>ACID-BASE INTERPRETATION</w:t>
      </w:r>
    </w:p>
    <w:tbl>
      <w:tblPr>
        <w:tblW w:w="928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518"/>
        <w:gridCol w:w="6763"/>
      </w:tblGrid>
      <w:tr w:rsidR="00D73CB5" w:rsidRPr="009B3097" w14:paraId="2508DFC1" w14:textId="77777777" w:rsidTr="00961942">
        <w:trPr>
          <w:trHeight w:val="502"/>
        </w:trPr>
        <w:tc>
          <w:tcPr>
            <w:tcW w:w="2518" w:type="dxa"/>
            <w:shd w:val="clear" w:color="auto" w:fill="auto"/>
          </w:tcPr>
          <w:p w14:paraId="710C59C9" w14:textId="1698CD63" w:rsidR="00D73CB5" w:rsidRPr="009B3097" w:rsidRDefault="00F0766E" w:rsidP="00B227A5">
            <w:pPr>
              <w:pStyle w:val="Punktlistax"/>
              <w:rPr>
                <w:rFonts w:ascii="Times New Roman" w:hAnsi="Times New Roman"/>
                <w:lang w:val="en-CA"/>
              </w:rPr>
            </w:pPr>
            <w:r w:rsidRPr="009B3097">
              <w:rPr>
                <w:rFonts w:ascii="Times New Roman" w:hAnsi="Times New Roman"/>
                <w:lang w:val="en-CA"/>
              </w:rPr>
              <w:t>Acidosis/Alkalosis</w:t>
            </w:r>
            <w:r w:rsidR="00D73CB5" w:rsidRPr="009B3097">
              <w:rPr>
                <w:rFonts w:ascii="Times New Roman" w:hAnsi="Times New Roman"/>
                <w:lang w:val="en-CA"/>
              </w:rPr>
              <w:t>?</w:t>
            </w:r>
          </w:p>
        </w:tc>
        <w:tc>
          <w:tcPr>
            <w:tcW w:w="6763" w:type="dxa"/>
            <w:shd w:val="clear" w:color="auto" w:fill="auto"/>
          </w:tcPr>
          <w:p w14:paraId="01DD6218" w14:textId="137C77D2" w:rsidR="00D73CB5" w:rsidRPr="009B3097" w:rsidRDefault="00D73CB5" w:rsidP="00D47D27">
            <w:pPr>
              <w:pStyle w:val="Punktlista"/>
              <w:rPr>
                <w:rFonts w:ascii="Times New Roman" w:hAnsi="Times New Roman"/>
                <w:lang w:val="en-CA"/>
              </w:rPr>
            </w:pPr>
            <w:r w:rsidRPr="009B3097">
              <w:rPr>
                <w:rFonts w:ascii="Times New Roman" w:hAnsi="Times New Roman"/>
                <w:lang w:val="en-CA"/>
              </w:rPr>
              <w:t>Metabolic acidosis</w:t>
            </w:r>
            <w:r w:rsidR="009C4137" w:rsidRPr="009B3097">
              <w:rPr>
                <w:rFonts w:ascii="Times New Roman" w:hAnsi="Times New Roman"/>
                <w:lang w:val="en-CA"/>
              </w:rPr>
              <w:t xml:space="preserve"> (pH &lt; 7.38 + HCO3 &lt; 22)</w:t>
            </w:r>
            <w:r w:rsidR="00E95EF6" w:rsidRPr="009B3097">
              <w:rPr>
                <w:rFonts w:ascii="Times New Roman" w:hAnsi="Times New Roman"/>
                <w:lang w:val="en-CA"/>
              </w:rPr>
              <w:t xml:space="preserve"> </w:t>
            </w:r>
            <w:r w:rsidR="00D47D27" w:rsidRPr="009B3097">
              <w:rPr>
                <w:rFonts w:ascii="Times New Roman" w:hAnsi="Times New Roman"/>
              </w:rPr>
              <w:fldChar w:fldCharType="begin"/>
            </w:r>
            <w:r w:rsidR="00D47D27" w:rsidRPr="009B3097">
              <w:rPr>
                <w:rFonts w:ascii="Times New Roman" w:hAnsi="Times New Roman"/>
              </w:rPr>
              <w:instrText xml:space="preserve"> ADDIN EN.CITE &lt;EndNote&gt;&lt;Cite&gt;&lt;Author&gt;Berend&lt;/Author&gt;&lt;Year&gt;2014&lt;/Year&gt;&lt;RecNum&gt;462&lt;/RecNum&gt;&lt;DisplayText&gt;[4]&lt;/DisplayText&gt;&lt;record&gt;&lt;rec-number&gt;462&lt;/rec-number&gt;&lt;foreign-keys&gt;&lt;key app="EN" db-id="prxaw20rpx0z9ke0rzmx59x7f0szzrxfdt5a"&gt;462&lt;/key&gt;&lt;/foreign-keys&gt;&lt;ref-type name="Journal Article"&gt;17&lt;/ref-type&gt;&lt;contributors&gt;&lt;authors&gt;&lt;author&gt;Berend, K.&lt;/author&gt;&lt;author&gt;de Vries, A. P.&lt;/author&gt;&lt;author&gt;Gans, R. O.&lt;/author&gt;&lt;/authors&gt;&lt;/contributors&gt;&lt;titles&gt;&lt;title&gt;Physiological Approach to Assessment of Acid-Base Disturbances&lt;/title&gt;&lt;secondary-title&gt;N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medicine&lt;/abbr-1&gt;&lt;/alt-periodical&gt;&lt;pages&gt;1434-1445&lt;/pages&gt;&lt;volume&gt;371&lt;/volume&gt;&lt;number&gt;15&lt;/number&gt;&lt;edition&gt;2014/10/09&lt;/edition&gt;&lt;dates&gt;&lt;year&gt;2014&lt;/year&gt;&lt;pub-dates&gt;&lt;date&gt;Oct 9&lt;/date&gt;&lt;/pub-dates&gt;&lt;/dates&gt;&lt;isbn&gt;1533-4406 (Electronic)&amp;#xD;0028-4793 (Linking)&lt;/isbn&gt;&lt;accession-num&gt;25295502&lt;/accession-num&gt;&lt;urls&gt;&lt;related-urls&gt;&lt;url&gt;http://www.ncbi.nlm.nih.gov/pubmed/25295502&lt;/url&gt;&lt;url&gt;http://www.nejm.org/doi/pdf/10.1056/NEJMra1003327&lt;/url&gt;&lt;/related-urls&gt;&lt;/urls&gt;&lt;electronic-resource-num&gt;10.1056/NEJMra1003327&lt;/electronic-resource-num&gt;&lt;language&gt;Eng&lt;/language&gt;&lt;/record&gt;&lt;/Cite&gt;&lt;/EndNote&gt;</w:instrText>
            </w:r>
            <w:r w:rsidR="00D47D27" w:rsidRPr="009B3097">
              <w:rPr>
                <w:rFonts w:ascii="Times New Roman" w:hAnsi="Times New Roman"/>
              </w:rPr>
              <w:fldChar w:fldCharType="separate"/>
            </w:r>
            <w:r w:rsidR="00D47D27" w:rsidRPr="009B3097">
              <w:rPr>
                <w:rFonts w:ascii="Times New Roman" w:hAnsi="Times New Roman"/>
                <w:noProof/>
              </w:rPr>
              <w:t>[</w:t>
            </w:r>
            <w:hyperlink w:anchor="_ENREF_4" w:tooltip="Berend, 2014 #462" w:history="1">
              <w:r w:rsidR="00D47D27" w:rsidRPr="009B3097">
                <w:rPr>
                  <w:rFonts w:ascii="Times New Roman" w:hAnsi="Times New Roman"/>
                  <w:noProof/>
                </w:rPr>
                <w:t>4</w:t>
              </w:r>
            </w:hyperlink>
            <w:r w:rsidR="00D47D27" w:rsidRPr="009B3097">
              <w:rPr>
                <w:rFonts w:ascii="Times New Roman" w:hAnsi="Times New Roman"/>
                <w:noProof/>
              </w:rPr>
              <w:t>]</w:t>
            </w:r>
            <w:r w:rsidR="00D47D27" w:rsidRPr="009B3097">
              <w:rPr>
                <w:rFonts w:ascii="Times New Roman" w:hAnsi="Times New Roman"/>
              </w:rPr>
              <w:fldChar w:fldCharType="end"/>
            </w:r>
          </w:p>
        </w:tc>
      </w:tr>
      <w:tr w:rsidR="00D73CB5" w:rsidRPr="009B3097" w14:paraId="04DEFE39" w14:textId="77777777" w:rsidTr="003222F0">
        <w:trPr>
          <w:trHeight w:val="885"/>
        </w:trPr>
        <w:tc>
          <w:tcPr>
            <w:tcW w:w="2518" w:type="dxa"/>
            <w:shd w:val="clear" w:color="auto" w:fill="auto"/>
          </w:tcPr>
          <w:p w14:paraId="296AB88A" w14:textId="7E8B1E4F" w:rsidR="00D73CB5" w:rsidRPr="009B3097" w:rsidRDefault="00F0766E" w:rsidP="00F0766E">
            <w:pPr>
              <w:pStyle w:val="Punktlistax"/>
              <w:rPr>
                <w:rFonts w:ascii="Times New Roman" w:hAnsi="Times New Roman"/>
                <w:lang w:val="en-CA"/>
              </w:rPr>
            </w:pPr>
            <w:r w:rsidRPr="009B3097">
              <w:rPr>
                <w:rFonts w:ascii="Times New Roman" w:hAnsi="Times New Roman"/>
                <w:lang w:val="en-CA"/>
              </w:rPr>
              <w:t>Compensation?</w:t>
            </w:r>
          </w:p>
        </w:tc>
        <w:tc>
          <w:tcPr>
            <w:tcW w:w="6763" w:type="dxa"/>
            <w:shd w:val="clear" w:color="auto" w:fill="auto"/>
          </w:tcPr>
          <w:p w14:paraId="7E36516F" w14:textId="6C1EB8F2" w:rsidR="00D73CB5" w:rsidRPr="009B3097" w:rsidRDefault="009A54BF" w:rsidP="00D47D27">
            <w:pPr>
              <w:pStyle w:val="Punktlista"/>
              <w:rPr>
                <w:rFonts w:ascii="Times New Roman" w:hAnsi="Times New Roman"/>
                <w:lang w:val="en-CA"/>
              </w:rPr>
            </w:pPr>
            <w:r w:rsidRPr="009B3097">
              <w:rPr>
                <w:rFonts w:ascii="Times New Roman" w:hAnsi="Times New Roman"/>
                <w:lang w:val="en-CA"/>
              </w:rPr>
              <w:t>The ∆HCO3 is 24 - 14 = 10.  The expected ∆pCO2 is 10 x 0.16 = 1.6</w:t>
            </w:r>
            <w:r w:rsidR="002359CC" w:rsidRPr="009B3097">
              <w:rPr>
                <w:rFonts w:ascii="Times New Roman" w:hAnsi="Times New Roman"/>
                <w:lang w:val="en-CA"/>
              </w:rPr>
              <w:t xml:space="preserve"> </w:t>
            </w:r>
            <w:r w:rsidR="00D47D27" w:rsidRPr="009B3097">
              <w:rPr>
                <w:rFonts w:ascii="Times New Roman" w:hAnsi="Times New Roman"/>
              </w:rPr>
              <w:fldChar w:fldCharType="begin"/>
            </w:r>
            <w:r w:rsidR="00D47D27" w:rsidRPr="009B3097">
              <w:rPr>
                <w:rFonts w:ascii="Times New Roman" w:hAnsi="Times New Roman"/>
              </w:rPr>
              <w:instrText xml:space="preserve"> ADDIN EN.CITE &lt;EndNote&gt;&lt;Cite&gt;&lt;Author&gt;Adrogue&lt;/Author&gt;&lt;Year&gt;2010&lt;/Year&gt;&lt;RecNum&gt;729&lt;/RecNum&gt;&lt;DisplayText&gt;[5]&lt;/DisplayText&gt;&lt;record&gt;&lt;rec-number&gt;729&lt;/rec-number&gt;&lt;foreign-keys&gt;&lt;key app="EN" db-id="prxaw20rpx0z9ke0rzmx59x7f0szzrxfdt5a"&gt;729&lt;/key&gt;&lt;/foreign-keys&gt;&lt;ref-type name="Journal Article"&gt;17&lt;/ref-type&gt;&lt;contributors&gt;&lt;authors&gt;&lt;author&gt;Adrogue, H. J.&lt;/author&gt;&lt;author&gt;Madias, N. E.&lt;/author&gt;&lt;/authors&gt;&lt;/contributors&gt;&lt;auth-address&gt;Department of Medicine, Baylor College of Medicine, Houston, Texas, USA.&lt;/auth-address&gt;&lt;titles&gt;&lt;title&gt;Secondary responses to altered acid-base status: the rules of engagement&lt;/title&gt;&lt;secondary-title&gt;J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JASN&lt;/abbr-1&gt;&lt;/alt-periodical&gt;&lt;pages&gt;920-3&lt;/pages&gt;&lt;volume&gt;21&lt;/volume&gt;&lt;number&gt;6&lt;/number&gt;&lt;edition&gt;2010/05/01&lt;/edition&gt;&lt;keywords&gt;&lt;keyword&gt;Acid-Base Equilibrium/physiology&lt;/keyword&gt;&lt;keyword&gt;Acid-Base Imbalance/*metabolism&lt;/keyword&gt;&lt;keyword&gt;Acidosis/metabolism&lt;/keyword&gt;&lt;keyword&gt;Acidosis, Respiratory/metabolism&lt;/keyword&gt;&lt;keyword&gt;Bicarbonates/*blood&lt;/keyword&gt;&lt;keyword&gt;Carbon Dioxide/*metabolism&lt;/keyword&gt;&lt;keyword&gt;Humans&lt;/keyword&gt;&lt;keyword&gt;Hypocapnia/metabolism&lt;/keyword&gt;&lt;keyword&gt;Time Factors&lt;/keyword&gt;&lt;/keywords&gt;&lt;dates&gt;&lt;year&gt;2010&lt;/year&gt;&lt;pub-dates&gt;&lt;date&gt;Jun&lt;/date&gt;&lt;/pub-dates&gt;&lt;/dates&gt;&lt;isbn&gt;1533-3450 (Electronic)&amp;#xD;1046-6673 (Linking)&lt;/isbn&gt;&lt;accession-num&gt;20431042&lt;/accession-num&gt;&lt;urls&gt;&lt;related-urls&gt;&lt;url&gt;http://www.ncbi.nlm.nih.gov/pubmed/20431042&lt;/url&gt;&lt;url&gt;http://jasn.asnjournals.org/content/21/6/920.full.pdf&lt;/url&gt;&lt;/related-urls&gt;&lt;/urls&gt;&lt;electronic-resource-num&gt;10.1681/ASN.2009121211&lt;/electronic-resource-num&gt;&lt;language&gt;eng&lt;/language&gt;&lt;/record&gt;&lt;/Cite&gt;&lt;/EndNote&gt;</w:instrText>
            </w:r>
            <w:r w:rsidR="00D47D27" w:rsidRPr="009B3097">
              <w:rPr>
                <w:rFonts w:ascii="Times New Roman" w:hAnsi="Times New Roman"/>
              </w:rPr>
              <w:fldChar w:fldCharType="separate"/>
            </w:r>
            <w:r w:rsidR="00D47D27" w:rsidRPr="009B3097">
              <w:rPr>
                <w:rFonts w:ascii="Times New Roman" w:hAnsi="Times New Roman"/>
                <w:noProof/>
              </w:rPr>
              <w:t>[</w:t>
            </w:r>
            <w:hyperlink w:anchor="_ENREF_5" w:tooltip="Adrogue, 2010 #729" w:history="1">
              <w:r w:rsidR="00D47D27" w:rsidRPr="009B3097">
                <w:rPr>
                  <w:rFonts w:ascii="Times New Roman" w:hAnsi="Times New Roman"/>
                  <w:noProof/>
                </w:rPr>
                <w:t>5</w:t>
              </w:r>
            </w:hyperlink>
            <w:r w:rsidR="00D47D27" w:rsidRPr="009B3097">
              <w:rPr>
                <w:rFonts w:ascii="Times New Roman" w:hAnsi="Times New Roman"/>
                <w:noProof/>
              </w:rPr>
              <w:t>]</w:t>
            </w:r>
            <w:r w:rsidR="00D47D27" w:rsidRPr="009B3097">
              <w:rPr>
                <w:rFonts w:ascii="Times New Roman" w:hAnsi="Times New Roman"/>
              </w:rPr>
              <w:fldChar w:fldCharType="end"/>
            </w:r>
            <w:r w:rsidRPr="009B3097">
              <w:rPr>
                <w:rFonts w:ascii="Times New Roman" w:hAnsi="Times New Roman"/>
                <w:lang w:val="en-CA"/>
              </w:rPr>
              <w:t xml:space="preserve">.  Hence the expected pCO2 is 5.3 - 1.6 = </w:t>
            </w:r>
            <w:r w:rsidR="00EA247A" w:rsidRPr="009B3097">
              <w:rPr>
                <w:rFonts w:ascii="Times New Roman" w:hAnsi="Times New Roman"/>
                <w:lang w:val="en-CA"/>
              </w:rPr>
              <w:t>3.7.  The actual pCO2 is 3.2.  Hence the patient also has a respiratory alkalosis.</w:t>
            </w:r>
          </w:p>
        </w:tc>
      </w:tr>
      <w:tr w:rsidR="00D73CB5" w:rsidRPr="009B3097" w14:paraId="3AF2B66B" w14:textId="77777777" w:rsidTr="003222F0">
        <w:trPr>
          <w:trHeight w:val="885"/>
        </w:trPr>
        <w:tc>
          <w:tcPr>
            <w:tcW w:w="2518" w:type="dxa"/>
            <w:shd w:val="clear" w:color="auto" w:fill="auto"/>
          </w:tcPr>
          <w:p w14:paraId="79CB7D96" w14:textId="26CF74EC" w:rsidR="00D73CB5" w:rsidRPr="009B3097" w:rsidRDefault="00DC0350" w:rsidP="00B227A5">
            <w:pPr>
              <w:pStyle w:val="Punktlistax"/>
              <w:rPr>
                <w:rFonts w:ascii="Times New Roman" w:hAnsi="Times New Roman"/>
                <w:lang w:val="en-CA"/>
              </w:rPr>
            </w:pPr>
            <w:r w:rsidRPr="009B3097">
              <w:rPr>
                <w:rFonts w:ascii="Times New Roman" w:hAnsi="Times New Roman"/>
                <w:lang w:val="en-CA"/>
              </w:rPr>
              <w:t>Ions?</w:t>
            </w:r>
          </w:p>
        </w:tc>
        <w:tc>
          <w:tcPr>
            <w:tcW w:w="6763" w:type="dxa"/>
            <w:shd w:val="clear" w:color="auto" w:fill="auto"/>
          </w:tcPr>
          <w:p w14:paraId="0E9DDC21" w14:textId="6F41C3EF" w:rsidR="00D73CB5" w:rsidRPr="009B3097" w:rsidRDefault="00167B3F" w:rsidP="009B71C4">
            <w:pPr>
              <w:pStyle w:val="Punktlista"/>
              <w:rPr>
                <w:rFonts w:ascii="Times New Roman" w:hAnsi="Times New Roman"/>
                <w:lang w:val="en-CA"/>
              </w:rPr>
            </w:pPr>
            <w:r w:rsidRPr="009B3097">
              <w:rPr>
                <w:rFonts w:ascii="Times New Roman" w:hAnsi="Times New Roman"/>
                <w:lang w:val="en-CA"/>
              </w:rPr>
              <w:t>Anion gap</w:t>
            </w:r>
            <w:r w:rsidR="00D73CB5" w:rsidRPr="009B3097">
              <w:rPr>
                <w:rFonts w:ascii="Times New Roman" w:hAnsi="Times New Roman"/>
                <w:lang w:val="en-CA"/>
              </w:rPr>
              <w:t xml:space="preserve"> </w:t>
            </w:r>
            <w:r w:rsidRPr="009B3097">
              <w:rPr>
                <w:rFonts w:ascii="Times New Roman" w:hAnsi="Times New Roman"/>
                <w:szCs w:val="24"/>
                <w:lang w:val="en-CA"/>
              </w:rPr>
              <w:t>134 – 101</w:t>
            </w:r>
            <w:r w:rsidR="00D73CB5" w:rsidRPr="009B3097">
              <w:rPr>
                <w:rFonts w:ascii="Times New Roman" w:hAnsi="Times New Roman"/>
                <w:szCs w:val="24"/>
                <w:lang w:val="en-CA"/>
              </w:rPr>
              <w:t xml:space="preserve"> – </w:t>
            </w:r>
            <w:r w:rsidRPr="009B3097">
              <w:rPr>
                <w:rFonts w:ascii="Times New Roman" w:hAnsi="Times New Roman"/>
                <w:szCs w:val="24"/>
                <w:lang w:val="en-CA"/>
              </w:rPr>
              <w:t>14 = 19</w:t>
            </w:r>
            <w:r w:rsidR="00D73CB5" w:rsidRPr="009B3097">
              <w:rPr>
                <w:rFonts w:ascii="Times New Roman" w:hAnsi="Times New Roman"/>
                <w:lang w:val="en-CA"/>
              </w:rPr>
              <w:t xml:space="preserve"> mmol/L</w:t>
            </w:r>
          </w:p>
          <w:p w14:paraId="2A7753B7" w14:textId="77777777" w:rsidR="00D73CB5" w:rsidRPr="009B3097" w:rsidRDefault="00167B3F" w:rsidP="009B71C4">
            <w:pPr>
              <w:pStyle w:val="Punktlista"/>
              <w:rPr>
                <w:rFonts w:ascii="Times New Roman" w:hAnsi="Times New Roman"/>
                <w:lang w:val="en-CA"/>
              </w:rPr>
            </w:pPr>
            <w:r w:rsidRPr="009B3097">
              <w:rPr>
                <w:rFonts w:ascii="Times New Roman" w:hAnsi="Times New Roman"/>
                <w:lang w:val="en-CA"/>
              </w:rPr>
              <w:t>Delta gap 7</w:t>
            </w:r>
            <w:r w:rsidR="00BD3A8B" w:rsidRPr="009B3097">
              <w:rPr>
                <w:rFonts w:ascii="Times New Roman" w:hAnsi="Times New Roman"/>
                <w:lang w:val="en-CA"/>
              </w:rPr>
              <w:t xml:space="preserve"> </w:t>
            </w:r>
            <w:r w:rsidR="00D73CB5" w:rsidRPr="009B3097">
              <w:rPr>
                <w:rFonts w:ascii="Times New Roman" w:hAnsi="Times New Roman"/>
                <w:lang w:val="en-CA"/>
              </w:rPr>
              <w:t>mmol/L</w:t>
            </w:r>
            <w:r w:rsidR="00BD3A8B" w:rsidRPr="009B3097">
              <w:rPr>
                <w:rFonts w:ascii="Times New Roman" w:hAnsi="Times New Roman"/>
                <w:lang w:val="en-CA"/>
              </w:rPr>
              <w:t xml:space="preserve"> (assuming AG of 12 mmol/L)</w:t>
            </w:r>
          </w:p>
          <w:p w14:paraId="5912A28C" w14:textId="3ED351E5" w:rsidR="00167B3F" w:rsidRPr="009B3097" w:rsidRDefault="00167B3F" w:rsidP="009B71C4">
            <w:pPr>
              <w:pStyle w:val="Punktlista"/>
              <w:rPr>
                <w:rFonts w:ascii="Times New Roman" w:hAnsi="Times New Roman"/>
                <w:lang w:val="en-CA"/>
              </w:rPr>
            </w:pPr>
            <w:r w:rsidRPr="009B3097">
              <w:rPr>
                <w:rFonts w:ascii="Times New Roman" w:hAnsi="Times New Roman"/>
                <w:lang w:val="en-CA"/>
              </w:rPr>
              <w:t>HCO3 + delta gap 14 + 7 = 21.  Hence hyperchloremic metabolic acidosis also present.</w:t>
            </w:r>
          </w:p>
        </w:tc>
      </w:tr>
      <w:tr w:rsidR="00D73CB5" w:rsidRPr="009B3097" w14:paraId="4AA3C1FB" w14:textId="77777777" w:rsidTr="003222F0">
        <w:trPr>
          <w:trHeight w:val="885"/>
        </w:trPr>
        <w:tc>
          <w:tcPr>
            <w:tcW w:w="2518" w:type="dxa"/>
            <w:shd w:val="clear" w:color="auto" w:fill="auto"/>
          </w:tcPr>
          <w:p w14:paraId="0C4CED62" w14:textId="733D7B30" w:rsidR="00D73CB5" w:rsidRPr="009B3097" w:rsidRDefault="00300538" w:rsidP="00B227A5">
            <w:pPr>
              <w:pStyle w:val="Punktlistax"/>
              <w:rPr>
                <w:rFonts w:ascii="Times New Roman" w:hAnsi="Times New Roman"/>
                <w:lang w:val="en-CA"/>
              </w:rPr>
            </w:pPr>
            <w:r w:rsidRPr="009B3097">
              <w:rPr>
                <w:rFonts w:ascii="Times New Roman" w:hAnsi="Times New Roman"/>
                <w:lang w:val="en-CA"/>
              </w:rPr>
              <w:t>Diagnoses</w:t>
            </w:r>
            <w:r w:rsidR="00D73CB5" w:rsidRPr="009B3097">
              <w:rPr>
                <w:rFonts w:ascii="Times New Roman" w:hAnsi="Times New Roman"/>
                <w:lang w:val="en-CA"/>
              </w:rPr>
              <w:t>?</w:t>
            </w:r>
          </w:p>
        </w:tc>
        <w:tc>
          <w:tcPr>
            <w:tcW w:w="6763" w:type="dxa"/>
            <w:shd w:val="clear" w:color="auto" w:fill="auto"/>
          </w:tcPr>
          <w:p w14:paraId="1432D1A2" w14:textId="77777777" w:rsidR="00D73CB5" w:rsidRPr="009B3097" w:rsidRDefault="00A67A1D" w:rsidP="009B71C4">
            <w:pPr>
              <w:pStyle w:val="Punktlista"/>
              <w:rPr>
                <w:rFonts w:ascii="Times New Roman" w:hAnsi="Times New Roman"/>
                <w:lang w:val="en-CA"/>
              </w:rPr>
            </w:pPr>
            <w:r w:rsidRPr="009B3097">
              <w:rPr>
                <w:rFonts w:ascii="Times New Roman" w:hAnsi="Times New Roman"/>
                <w:lang w:val="en-CA"/>
              </w:rPr>
              <w:t>The patient's effective osmolarity is 2xNa + Glucose = 327, which exceeds 320.  Hence the patient has hyperglycemic hyperosmolar syndrome</w:t>
            </w:r>
          </w:p>
          <w:p w14:paraId="4837D52E" w14:textId="7B5DAB21" w:rsidR="003222F0" w:rsidRPr="009B3097" w:rsidRDefault="003222F0" w:rsidP="009B71C4">
            <w:pPr>
              <w:pStyle w:val="Punktlista"/>
              <w:rPr>
                <w:rFonts w:ascii="Times New Roman" w:hAnsi="Times New Roman"/>
                <w:lang w:val="en-CA"/>
              </w:rPr>
            </w:pPr>
            <w:r w:rsidRPr="009B3097">
              <w:rPr>
                <w:rFonts w:ascii="Times New Roman" w:hAnsi="Times New Roman"/>
                <w:lang w:val="en-CA"/>
              </w:rPr>
              <w:t>The differential diagnosis of the metabolic acidosis is MUDPILES.  Lactate accounts for most of the delta gap.  The excess delta gap may be accounted for by uremia.</w:t>
            </w:r>
            <w:r w:rsidR="00F546C0" w:rsidRPr="009B3097">
              <w:rPr>
                <w:rFonts w:ascii="Times New Roman" w:hAnsi="Times New Roman"/>
                <w:lang w:val="en-CA"/>
              </w:rPr>
              <w:t xml:space="preserve">  The cause of the lactate is unclear, but shock due to sepsis or dehydration are likely in the context of HHS.</w:t>
            </w:r>
          </w:p>
          <w:p w14:paraId="6977BCFE" w14:textId="77777777" w:rsidR="003222F0" w:rsidRPr="009B3097" w:rsidRDefault="003222F0" w:rsidP="009B71C4">
            <w:pPr>
              <w:pStyle w:val="Punktlista"/>
              <w:rPr>
                <w:rFonts w:ascii="Times New Roman" w:hAnsi="Times New Roman"/>
                <w:lang w:val="en-CA"/>
              </w:rPr>
            </w:pPr>
            <w:r w:rsidRPr="009B3097">
              <w:rPr>
                <w:rFonts w:ascii="Times New Roman" w:hAnsi="Times New Roman"/>
                <w:lang w:val="en-CA"/>
              </w:rPr>
              <w:t>The cause of the respiratory alkalosis is unclear, but it could be caused by the infection that triggered the HHS.</w:t>
            </w:r>
          </w:p>
          <w:p w14:paraId="7E3B7927" w14:textId="58FAF7E0" w:rsidR="003222F0" w:rsidRPr="009B3097" w:rsidRDefault="003222F0" w:rsidP="009B71C4">
            <w:pPr>
              <w:pStyle w:val="Punktlista"/>
              <w:rPr>
                <w:rFonts w:ascii="Times New Roman" w:hAnsi="Times New Roman"/>
                <w:lang w:val="en-CA"/>
              </w:rPr>
            </w:pPr>
            <w:r w:rsidRPr="009B3097">
              <w:rPr>
                <w:rFonts w:ascii="Times New Roman" w:hAnsi="Times New Roman"/>
                <w:lang w:val="en-CA"/>
              </w:rPr>
              <w:t xml:space="preserve">The cause of the hyperchloremic metabolic acidosis is unclear (diarrhea?  </w:t>
            </w:r>
            <w:r w:rsidR="00196EAC" w:rsidRPr="009B3097">
              <w:rPr>
                <w:rFonts w:ascii="Times New Roman" w:hAnsi="Times New Roman"/>
                <w:lang w:val="en-CA"/>
              </w:rPr>
              <w:t>renal tubular acidosis?)</w:t>
            </w:r>
          </w:p>
        </w:tc>
      </w:tr>
    </w:tbl>
    <w:p w14:paraId="07559AEB" w14:textId="319A43D3" w:rsidR="00D73CB5" w:rsidRPr="009B3097" w:rsidRDefault="00D73CB5" w:rsidP="00D73CB5">
      <w:pPr>
        <w:pStyle w:val="HTML-adress"/>
        <w:ind w:right="-715"/>
        <w:jc w:val="left"/>
        <w:rPr>
          <w:i w:val="0"/>
          <w:lang w:val="en-CA" w:eastAsia="ja-JP"/>
        </w:rPr>
      </w:pPr>
    </w:p>
    <w:p w14:paraId="7A24EFF3" w14:textId="77777777" w:rsidR="00D73CB5" w:rsidRPr="009B3097" w:rsidRDefault="00D73CB5" w:rsidP="00D73CB5">
      <w:pPr>
        <w:pStyle w:val="Brdtext"/>
        <w:ind w:right="-715"/>
        <w:rPr>
          <w:rFonts w:ascii="Times New Roman" w:hAnsi="Times New Roman"/>
          <w:b/>
          <w:lang w:val="en-CA" w:eastAsia="ja-JP"/>
        </w:rPr>
      </w:pPr>
      <w:r w:rsidRPr="009B3097">
        <w:rPr>
          <w:rFonts w:ascii="Times New Roman" w:hAnsi="Times New Roman"/>
          <w:b/>
          <w:lang w:val="en-CA" w:eastAsia="ja-JP"/>
        </w:rPr>
        <w:t>QUESTIONS</w:t>
      </w:r>
    </w:p>
    <w:p w14:paraId="76164186" w14:textId="1C745661" w:rsidR="00D73CB5" w:rsidRPr="009B3097" w:rsidRDefault="00AD42BA" w:rsidP="00D73CB5">
      <w:pPr>
        <w:pStyle w:val="Brdtext"/>
        <w:ind w:right="-715"/>
        <w:rPr>
          <w:rFonts w:ascii="Times New Roman" w:hAnsi="Times New Roman"/>
          <w:b/>
          <w:lang w:val="en-CA" w:eastAsia="ja-JP"/>
        </w:rPr>
      </w:pPr>
      <w:r w:rsidRPr="009B3097">
        <w:rPr>
          <w:rFonts w:ascii="Times New Roman" w:hAnsi="Times New Roman"/>
          <w:b/>
          <w:lang w:val="en-CA" w:eastAsia="ja-JP"/>
        </w:rPr>
        <w:t xml:space="preserve">What is the </w:t>
      </w:r>
      <w:r w:rsidR="00013110" w:rsidRPr="009B3097">
        <w:rPr>
          <w:rFonts w:ascii="Times New Roman" w:hAnsi="Times New Roman"/>
          <w:b/>
          <w:lang w:val="en-CA" w:eastAsia="ja-JP"/>
        </w:rPr>
        <w:t xml:space="preserve">patient's </w:t>
      </w:r>
      <w:r w:rsidRPr="009B3097">
        <w:rPr>
          <w:rFonts w:ascii="Times New Roman" w:hAnsi="Times New Roman"/>
          <w:b/>
          <w:lang w:val="en-CA" w:eastAsia="ja-JP"/>
        </w:rPr>
        <w:t>effective</w:t>
      </w:r>
      <w:r w:rsidR="00013110" w:rsidRPr="009B3097">
        <w:rPr>
          <w:rFonts w:ascii="Times New Roman" w:hAnsi="Times New Roman"/>
          <w:b/>
          <w:lang w:val="en-CA" w:eastAsia="ja-JP"/>
        </w:rPr>
        <w:t xml:space="preserve"> serum osmolarity</w:t>
      </w:r>
      <w:r w:rsidR="007E3CE1" w:rsidRPr="009B3097">
        <w:rPr>
          <w:rFonts w:ascii="Times New Roman" w:hAnsi="Times New Roman"/>
          <w:b/>
          <w:lang w:val="en-CA" w:eastAsia="ja-JP"/>
        </w:rPr>
        <w:t>?</w:t>
      </w:r>
    </w:p>
    <w:p w14:paraId="4900F088" w14:textId="342AB260" w:rsidR="007E3CE1" w:rsidRPr="009B3097" w:rsidRDefault="00013110" w:rsidP="007E3CE1">
      <w:pPr>
        <w:pStyle w:val="Punktlistax"/>
        <w:rPr>
          <w:rFonts w:ascii="Times New Roman" w:hAnsi="Times New Roman"/>
          <w:lang w:val="en-CA"/>
        </w:rPr>
      </w:pPr>
      <w:r w:rsidRPr="009B3097">
        <w:rPr>
          <w:rFonts w:ascii="Times New Roman" w:hAnsi="Times New Roman"/>
          <w:lang w:val="en-CA"/>
        </w:rPr>
        <w:t>(2 x Na) + glucose = 327 mmol/L</w:t>
      </w:r>
    </w:p>
    <w:p w14:paraId="0150D77E" w14:textId="0C8215C5" w:rsidR="00685F6F" w:rsidRPr="009B3097" w:rsidRDefault="00013110" w:rsidP="007E3CE1">
      <w:pPr>
        <w:pStyle w:val="Punktlistax"/>
        <w:rPr>
          <w:rFonts w:ascii="Times New Roman" w:hAnsi="Times New Roman"/>
          <w:lang w:val="en-CA"/>
        </w:rPr>
      </w:pPr>
      <w:r w:rsidRPr="009B3097">
        <w:rPr>
          <w:rFonts w:ascii="Times New Roman" w:hAnsi="Times New Roman"/>
          <w:lang w:val="en-CA"/>
        </w:rPr>
        <w:t>Effective serum osmolarity &gt; 320 mmol/L is consistent with Hyperglycemic Hyperosmolor Syndrome (HHS)</w:t>
      </w:r>
    </w:p>
    <w:p w14:paraId="2B5EDF39" w14:textId="77777777" w:rsidR="007E3CE1" w:rsidRPr="009B3097" w:rsidRDefault="007E3CE1" w:rsidP="007E3CE1">
      <w:pPr>
        <w:pStyle w:val="Punktlistax"/>
        <w:numPr>
          <w:ilvl w:val="0"/>
          <w:numId w:val="0"/>
        </w:numPr>
        <w:ind w:left="284" w:hanging="284"/>
        <w:rPr>
          <w:rFonts w:ascii="Times New Roman" w:hAnsi="Times New Roman"/>
          <w:lang w:val="en-CA"/>
        </w:rPr>
      </w:pPr>
    </w:p>
    <w:p w14:paraId="13D18639" w14:textId="45843DE6" w:rsidR="007E3CE1" w:rsidRPr="009B3097" w:rsidRDefault="00013110" w:rsidP="007E3CE1">
      <w:pPr>
        <w:pStyle w:val="Brdtext"/>
        <w:ind w:right="-715"/>
        <w:rPr>
          <w:rFonts w:ascii="Times New Roman" w:hAnsi="Times New Roman"/>
          <w:b/>
          <w:lang w:val="en-CA" w:eastAsia="ja-JP"/>
        </w:rPr>
      </w:pPr>
      <w:r w:rsidRPr="009B3097">
        <w:rPr>
          <w:rFonts w:ascii="Times New Roman" w:hAnsi="Times New Roman"/>
          <w:b/>
          <w:lang w:val="en-CA" w:eastAsia="ja-JP"/>
        </w:rPr>
        <w:t>Does the patient have diabetic ketoacidosis</w:t>
      </w:r>
      <w:r w:rsidR="004E27D5" w:rsidRPr="009B3097">
        <w:rPr>
          <w:rFonts w:ascii="Times New Roman" w:hAnsi="Times New Roman"/>
          <w:b/>
          <w:lang w:val="en-CA" w:eastAsia="ja-JP"/>
        </w:rPr>
        <w:t>?</w:t>
      </w:r>
    </w:p>
    <w:p w14:paraId="3B6B7823" w14:textId="283AFDE1" w:rsidR="00013110" w:rsidRPr="009B3097" w:rsidRDefault="00013110" w:rsidP="004E27D5">
      <w:pPr>
        <w:pStyle w:val="Punktlistax"/>
        <w:rPr>
          <w:rFonts w:ascii="Times New Roman" w:hAnsi="Times New Roman"/>
          <w:lang w:val="en-CA"/>
        </w:rPr>
      </w:pPr>
      <w:r w:rsidRPr="009B3097">
        <w:rPr>
          <w:rFonts w:ascii="Times New Roman" w:hAnsi="Times New Roman"/>
          <w:lang w:val="en-CA"/>
        </w:rPr>
        <w:t>Unlikely:  diabetic ketoacidosis primarily affects patients with type 1 diabetes.</w:t>
      </w:r>
    </w:p>
    <w:p w14:paraId="3745C441" w14:textId="343E9285" w:rsidR="00013110" w:rsidRPr="009B3097" w:rsidRDefault="00013110" w:rsidP="004E27D5">
      <w:pPr>
        <w:pStyle w:val="Punktlistax"/>
        <w:rPr>
          <w:rFonts w:ascii="Times New Roman" w:hAnsi="Times New Roman"/>
          <w:lang w:val="en-CA"/>
        </w:rPr>
      </w:pPr>
      <w:r w:rsidRPr="009B3097">
        <w:rPr>
          <w:rFonts w:ascii="Times New Roman" w:hAnsi="Times New Roman"/>
          <w:lang w:val="en-CA"/>
        </w:rPr>
        <w:t>The delta gap of 7 mmol/L is for the most part accounted for by the elevated lactate.</w:t>
      </w:r>
    </w:p>
    <w:p w14:paraId="71A64C7F" w14:textId="1D7554B5" w:rsidR="007E3CE1" w:rsidRPr="009B3097" w:rsidRDefault="007E3CE1" w:rsidP="00D47D27">
      <w:pPr>
        <w:pStyle w:val="Brdtext"/>
        <w:rPr>
          <w:rFonts w:ascii="Times New Roman" w:hAnsi="Times New Roman"/>
        </w:rPr>
      </w:pPr>
    </w:p>
    <w:p w14:paraId="6E927196" w14:textId="487DBDE7" w:rsidR="00961942" w:rsidRPr="009B3097" w:rsidRDefault="00961942" w:rsidP="00961942">
      <w:pPr>
        <w:pStyle w:val="Brdtext"/>
        <w:rPr>
          <w:rFonts w:ascii="Times New Roman" w:hAnsi="Times New Roman"/>
          <w:b/>
        </w:rPr>
      </w:pPr>
      <w:r w:rsidRPr="009B3097">
        <w:rPr>
          <w:rFonts w:ascii="Times New Roman" w:hAnsi="Times New Roman"/>
          <w:b/>
        </w:rPr>
        <w:t>REFERENCES</w:t>
      </w:r>
    </w:p>
    <w:p w14:paraId="031C70B0" w14:textId="77777777" w:rsidR="00961942" w:rsidRPr="009B3097" w:rsidRDefault="00961942" w:rsidP="00961942">
      <w:pPr>
        <w:pStyle w:val="Brdtext"/>
        <w:rPr>
          <w:rFonts w:ascii="Times New Roman" w:hAnsi="Times New Roman"/>
          <w:noProof/>
        </w:rPr>
      </w:pPr>
      <w:r w:rsidRPr="009B3097">
        <w:rPr>
          <w:rFonts w:ascii="Times New Roman" w:hAnsi="Times New Roman"/>
        </w:rPr>
        <w:fldChar w:fldCharType="begin"/>
      </w:r>
      <w:r w:rsidRPr="009B3097">
        <w:rPr>
          <w:rFonts w:ascii="Times New Roman" w:hAnsi="Times New Roman"/>
        </w:rPr>
        <w:instrText xml:space="preserve"> ADDIN EN.REFLIST </w:instrText>
      </w:r>
      <w:r w:rsidRPr="009B3097">
        <w:rPr>
          <w:rFonts w:ascii="Times New Roman" w:hAnsi="Times New Roman"/>
        </w:rPr>
        <w:fldChar w:fldCharType="separate"/>
      </w:r>
      <w:bookmarkStart w:id="1" w:name="_ENREF_1"/>
      <w:r w:rsidRPr="009B3097">
        <w:rPr>
          <w:rFonts w:ascii="Times New Roman" w:hAnsi="Times New Roman"/>
          <w:noProof/>
        </w:rPr>
        <w:t>1.</w:t>
      </w:r>
      <w:r w:rsidRPr="009B3097">
        <w:rPr>
          <w:rFonts w:ascii="Times New Roman" w:hAnsi="Times New Roman"/>
          <w:noProof/>
        </w:rPr>
        <w:tab/>
        <w:t xml:space="preserve">Kraut, J.A. and N.E. Madias, </w:t>
      </w:r>
      <w:r w:rsidRPr="009B3097">
        <w:rPr>
          <w:rFonts w:ascii="Times New Roman" w:hAnsi="Times New Roman"/>
          <w:i/>
          <w:noProof/>
        </w:rPr>
        <w:t>Serum anion gap: its uses and limitations in clinical medicine.</w:t>
      </w:r>
      <w:r w:rsidRPr="009B3097">
        <w:rPr>
          <w:rFonts w:ascii="Times New Roman" w:hAnsi="Times New Roman"/>
          <w:noProof/>
        </w:rPr>
        <w:t xml:space="preserve"> Clin J Am Soc Nephrol, 2007. </w:t>
      </w:r>
      <w:r w:rsidRPr="009B3097">
        <w:rPr>
          <w:rFonts w:ascii="Times New Roman" w:hAnsi="Times New Roman"/>
          <w:b/>
          <w:noProof/>
        </w:rPr>
        <w:t>2</w:t>
      </w:r>
      <w:r w:rsidRPr="009B3097">
        <w:rPr>
          <w:rFonts w:ascii="Times New Roman" w:hAnsi="Times New Roman"/>
          <w:noProof/>
        </w:rPr>
        <w:t>(1): p. 162-74.</w:t>
      </w:r>
      <w:bookmarkEnd w:id="1"/>
    </w:p>
    <w:p w14:paraId="751BB52D" w14:textId="77777777" w:rsidR="00961942" w:rsidRPr="009B3097" w:rsidRDefault="00961942" w:rsidP="00961942">
      <w:pPr>
        <w:pStyle w:val="Brdtext"/>
        <w:rPr>
          <w:rFonts w:ascii="Times New Roman" w:hAnsi="Times New Roman"/>
          <w:noProof/>
        </w:rPr>
      </w:pPr>
      <w:bookmarkStart w:id="2" w:name="_ENREF_2"/>
      <w:r w:rsidRPr="009B3097">
        <w:rPr>
          <w:rFonts w:ascii="Times New Roman" w:hAnsi="Times New Roman"/>
          <w:noProof/>
        </w:rPr>
        <w:t>2.</w:t>
      </w:r>
      <w:r w:rsidRPr="009B3097">
        <w:rPr>
          <w:rFonts w:ascii="Times New Roman" w:hAnsi="Times New Roman"/>
          <w:noProof/>
        </w:rPr>
        <w:tab/>
        <w:t xml:space="preserve">Spasovski, G., et al., </w:t>
      </w:r>
      <w:r w:rsidRPr="009B3097">
        <w:rPr>
          <w:rFonts w:ascii="Times New Roman" w:hAnsi="Times New Roman"/>
          <w:i/>
          <w:noProof/>
        </w:rPr>
        <w:t>Clinical practice guideline on diagnosis and treatment of hyponatraemia.</w:t>
      </w:r>
      <w:r w:rsidRPr="009B3097">
        <w:rPr>
          <w:rFonts w:ascii="Times New Roman" w:hAnsi="Times New Roman"/>
          <w:noProof/>
        </w:rPr>
        <w:t xml:space="preserve"> Eur J Endocrinol, 2014. </w:t>
      </w:r>
      <w:r w:rsidRPr="009B3097">
        <w:rPr>
          <w:rFonts w:ascii="Times New Roman" w:hAnsi="Times New Roman"/>
          <w:b/>
          <w:noProof/>
        </w:rPr>
        <w:t>170</w:t>
      </w:r>
      <w:r w:rsidRPr="009B3097">
        <w:rPr>
          <w:rFonts w:ascii="Times New Roman" w:hAnsi="Times New Roman"/>
          <w:noProof/>
        </w:rPr>
        <w:t>(3): p. G1-47.</w:t>
      </w:r>
      <w:bookmarkEnd w:id="2"/>
    </w:p>
    <w:p w14:paraId="430263C1" w14:textId="77777777" w:rsidR="00961942" w:rsidRPr="009B3097" w:rsidRDefault="00961942" w:rsidP="00961942">
      <w:pPr>
        <w:pStyle w:val="Brdtext"/>
        <w:rPr>
          <w:rFonts w:ascii="Times New Roman" w:hAnsi="Times New Roman"/>
          <w:noProof/>
        </w:rPr>
      </w:pPr>
      <w:bookmarkStart w:id="3" w:name="_ENREF_3"/>
      <w:r w:rsidRPr="009B3097">
        <w:rPr>
          <w:rFonts w:ascii="Times New Roman" w:hAnsi="Times New Roman"/>
          <w:noProof/>
        </w:rPr>
        <w:t>3.</w:t>
      </w:r>
      <w:r w:rsidRPr="009B3097">
        <w:rPr>
          <w:rFonts w:ascii="Times New Roman" w:hAnsi="Times New Roman"/>
          <w:noProof/>
        </w:rPr>
        <w:tab/>
        <w:t xml:space="preserve">Kitabchi, A.E., et al., </w:t>
      </w:r>
      <w:r w:rsidRPr="009B3097">
        <w:rPr>
          <w:rFonts w:ascii="Times New Roman" w:hAnsi="Times New Roman"/>
          <w:i/>
          <w:noProof/>
        </w:rPr>
        <w:t>Hyperglycemic crises in adult patients with diabetes.</w:t>
      </w:r>
      <w:r w:rsidRPr="009B3097">
        <w:rPr>
          <w:rFonts w:ascii="Times New Roman" w:hAnsi="Times New Roman"/>
          <w:noProof/>
        </w:rPr>
        <w:t xml:space="preserve"> Diabetes Care, 2009. </w:t>
      </w:r>
      <w:r w:rsidRPr="009B3097">
        <w:rPr>
          <w:rFonts w:ascii="Times New Roman" w:hAnsi="Times New Roman"/>
          <w:b/>
          <w:noProof/>
        </w:rPr>
        <w:t>32</w:t>
      </w:r>
      <w:r w:rsidRPr="009B3097">
        <w:rPr>
          <w:rFonts w:ascii="Times New Roman" w:hAnsi="Times New Roman"/>
          <w:noProof/>
        </w:rPr>
        <w:t>(7): p. 1335-43.</w:t>
      </w:r>
      <w:bookmarkEnd w:id="3"/>
    </w:p>
    <w:p w14:paraId="4DB9BCF4" w14:textId="77777777" w:rsidR="00961942" w:rsidRPr="009B3097" w:rsidRDefault="00961942" w:rsidP="00961942">
      <w:pPr>
        <w:pStyle w:val="Brdtext"/>
        <w:rPr>
          <w:rFonts w:ascii="Times New Roman" w:hAnsi="Times New Roman"/>
          <w:noProof/>
        </w:rPr>
      </w:pPr>
      <w:bookmarkStart w:id="4" w:name="_ENREF_4"/>
      <w:r w:rsidRPr="009B3097">
        <w:rPr>
          <w:rFonts w:ascii="Times New Roman" w:hAnsi="Times New Roman"/>
          <w:noProof/>
        </w:rPr>
        <w:t>4.</w:t>
      </w:r>
      <w:r w:rsidRPr="009B3097">
        <w:rPr>
          <w:rFonts w:ascii="Times New Roman" w:hAnsi="Times New Roman"/>
          <w:noProof/>
        </w:rPr>
        <w:tab/>
        <w:t xml:space="preserve">Berend, K., A.P. de Vries, and R.O. Gans, </w:t>
      </w:r>
      <w:r w:rsidRPr="009B3097">
        <w:rPr>
          <w:rFonts w:ascii="Times New Roman" w:hAnsi="Times New Roman"/>
          <w:i/>
          <w:noProof/>
        </w:rPr>
        <w:t>Physiological Approach to Assessment of Acid-Base Disturbances.</w:t>
      </w:r>
      <w:r w:rsidRPr="009B3097">
        <w:rPr>
          <w:rFonts w:ascii="Times New Roman" w:hAnsi="Times New Roman"/>
          <w:noProof/>
        </w:rPr>
        <w:t xml:space="preserve"> N Engl J Med, 2014. </w:t>
      </w:r>
      <w:r w:rsidRPr="009B3097">
        <w:rPr>
          <w:rFonts w:ascii="Times New Roman" w:hAnsi="Times New Roman"/>
          <w:b/>
          <w:noProof/>
        </w:rPr>
        <w:t>371</w:t>
      </w:r>
      <w:r w:rsidRPr="009B3097">
        <w:rPr>
          <w:rFonts w:ascii="Times New Roman" w:hAnsi="Times New Roman"/>
          <w:noProof/>
        </w:rPr>
        <w:t>(15): p. 1434-1445.</w:t>
      </w:r>
      <w:bookmarkEnd w:id="4"/>
    </w:p>
    <w:p w14:paraId="6992AE4F" w14:textId="77777777" w:rsidR="00961942" w:rsidRPr="009B3097" w:rsidRDefault="00961942" w:rsidP="00961942">
      <w:pPr>
        <w:pStyle w:val="Brdtext"/>
        <w:rPr>
          <w:rFonts w:ascii="Times New Roman" w:hAnsi="Times New Roman"/>
          <w:noProof/>
        </w:rPr>
      </w:pPr>
      <w:bookmarkStart w:id="5" w:name="_ENREF_5"/>
      <w:r w:rsidRPr="009B3097">
        <w:rPr>
          <w:rFonts w:ascii="Times New Roman" w:hAnsi="Times New Roman"/>
          <w:noProof/>
        </w:rPr>
        <w:t>5.</w:t>
      </w:r>
      <w:r w:rsidRPr="009B3097">
        <w:rPr>
          <w:rFonts w:ascii="Times New Roman" w:hAnsi="Times New Roman"/>
          <w:noProof/>
        </w:rPr>
        <w:tab/>
        <w:t xml:space="preserve">Adrogue, H.J. and N.E. Madias, </w:t>
      </w:r>
      <w:r w:rsidRPr="009B3097">
        <w:rPr>
          <w:rFonts w:ascii="Times New Roman" w:hAnsi="Times New Roman"/>
          <w:i/>
          <w:noProof/>
        </w:rPr>
        <w:t>Secondary responses to altered acid-base status: the rules of engagement.</w:t>
      </w:r>
      <w:r w:rsidRPr="009B3097">
        <w:rPr>
          <w:rFonts w:ascii="Times New Roman" w:hAnsi="Times New Roman"/>
          <w:noProof/>
        </w:rPr>
        <w:t xml:space="preserve"> J Am Soc Nephrol, 2010. </w:t>
      </w:r>
      <w:r w:rsidRPr="009B3097">
        <w:rPr>
          <w:rFonts w:ascii="Times New Roman" w:hAnsi="Times New Roman"/>
          <w:b/>
          <w:noProof/>
        </w:rPr>
        <w:t>21</w:t>
      </w:r>
      <w:r w:rsidRPr="009B3097">
        <w:rPr>
          <w:rFonts w:ascii="Times New Roman" w:hAnsi="Times New Roman"/>
          <w:noProof/>
        </w:rPr>
        <w:t>(6): p. 920-3.</w:t>
      </w:r>
      <w:bookmarkEnd w:id="5"/>
    </w:p>
    <w:p w14:paraId="3B360C74" w14:textId="77777777" w:rsidR="00961942" w:rsidRPr="009B3097" w:rsidRDefault="00961942" w:rsidP="00961942">
      <w:pPr>
        <w:pStyle w:val="Brdtext"/>
        <w:rPr>
          <w:rFonts w:ascii="Times New Roman" w:hAnsi="Times New Roman"/>
          <w:noProof/>
        </w:rPr>
      </w:pPr>
    </w:p>
    <w:p w14:paraId="04DEB355" w14:textId="23888C5E" w:rsidR="00961942" w:rsidRPr="009B3097" w:rsidRDefault="00961942" w:rsidP="00961942">
      <w:pPr>
        <w:pStyle w:val="Brdtext"/>
        <w:rPr>
          <w:rFonts w:ascii="Times New Roman" w:hAnsi="Times New Roman"/>
          <w:b/>
        </w:rPr>
      </w:pPr>
      <w:r w:rsidRPr="009B3097">
        <w:rPr>
          <w:rFonts w:ascii="Times New Roman" w:hAnsi="Times New Roman"/>
        </w:rPr>
        <w:fldChar w:fldCharType="end"/>
      </w:r>
    </w:p>
    <w:sectPr w:rsidR="00961942" w:rsidRPr="009B3097" w:rsidSect="000C414B">
      <w:footerReference w:type="default" r:id="rId8"/>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CB8B0" w14:textId="77777777" w:rsidR="0094460B" w:rsidRDefault="0094460B" w:rsidP="00D73CB5">
      <w:r>
        <w:separator/>
      </w:r>
    </w:p>
  </w:endnote>
  <w:endnote w:type="continuationSeparator" w:id="0">
    <w:p w14:paraId="5A99282B" w14:textId="77777777" w:rsidR="0094460B" w:rsidRDefault="0094460B" w:rsidP="00D7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66E" w14:textId="77777777" w:rsidR="0094460B" w:rsidRPr="00D73CB5" w:rsidRDefault="0094460B" w:rsidP="00D73CB5">
    <w:pPr>
      <w:pStyle w:val="Sidfot"/>
      <w:jc w:val="center"/>
      <w:rPr>
        <w:sz w:val="20"/>
      </w:rPr>
    </w:pPr>
    <w:r w:rsidRPr="00D73CB5">
      <w:rPr>
        <w:sz w:val="20"/>
      </w:rPr>
      <w:t>Eric Dryver</w:t>
    </w:r>
  </w:p>
  <w:p w14:paraId="1C629689" w14:textId="77777777" w:rsidR="0094460B" w:rsidRPr="00D73CB5" w:rsidRDefault="0094460B" w:rsidP="00D73CB5">
    <w:pPr>
      <w:pStyle w:val="Sidfot"/>
      <w:jc w:val="center"/>
      <w:rPr>
        <w:rStyle w:val="Sidnummer"/>
        <w:sz w:val="20"/>
      </w:rPr>
    </w:pPr>
    <w:r w:rsidRPr="00D73CB5">
      <w:rPr>
        <w:sz w:val="20"/>
      </w:rPr>
      <w:t xml:space="preserve">- </w:t>
    </w:r>
    <w:r w:rsidRPr="00D73CB5">
      <w:rPr>
        <w:rStyle w:val="Sidnummer"/>
        <w:sz w:val="20"/>
      </w:rPr>
      <w:fldChar w:fldCharType="begin"/>
    </w:r>
    <w:r w:rsidRPr="00D73CB5">
      <w:rPr>
        <w:rStyle w:val="Sidnummer"/>
        <w:sz w:val="20"/>
      </w:rPr>
      <w:instrText xml:space="preserve"> PAGE </w:instrText>
    </w:r>
    <w:r w:rsidRPr="00D73CB5">
      <w:rPr>
        <w:rStyle w:val="Sidnummer"/>
        <w:sz w:val="20"/>
      </w:rPr>
      <w:fldChar w:fldCharType="separate"/>
    </w:r>
    <w:r w:rsidR="009B3097">
      <w:rPr>
        <w:rStyle w:val="Sidnummer"/>
        <w:noProof/>
        <w:sz w:val="20"/>
      </w:rPr>
      <w:t>1</w:t>
    </w:r>
    <w:r w:rsidRPr="00D73CB5">
      <w:rPr>
        <w:rStyle w:val="Sidnummer"/>
        <w:sz w:val="20"/>
      </w:rPr>
      <w:fldChar w:fldCharType="end"/>
    </w:r>
    <w:r w:rsidRPr="00D73CB5">
      <w:rPr>
        <w:rStyle w:val="Sidnummer"/>
        <w:sz w:val="20"/>
      </w:rPr>
      <w:t xml:space="preserve"> -</w:t>
    </w:r>
  </w:p>
  <w:p w14:paraId="0D35C0D1" w14:textId="77777777" w:rsidR="0094460B" w:rsidRPr="00D73CB5" w:rsidRDefault="0094460B" w:rsidP="00D73CB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7BBB7" w14:textId="77777777" w:rsidR="0094460B" w:rsidRDefault="0094460B" w:rsidP="00D73CB5">
      <w:r>
        <w:separator/>
      </w:r>
    </w:p>
  </w:footnote>
  <w:footnote w:type="continuationSeparator" w:id="0">
    <w:p w14:paraId="593283E5" w14:textId="77777777" w:rsidR="0094460B" w:rsidRDefault="0094460B" w:rsidP="00D73C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E28B054"/>
    <w:lvl w:ilvl="0">
      <w:start w:val="1"/>
      <w:numFmt w:val="bullet"/>
      <w:pStyle w:val="Punktlistax"/>
      <w:lvlText w:val=""/>
      <w:lvlJc w:val="left"/>
      <w:pPr>
        <w:tabs>
          <w:tab w:val="num" w:pos="284"/>
        </w:tabs>
        <w:ind w:left="284" w:hanging="284"/>
      </w:pPr>
      <w:rPr>
        <w:rFonts w:ascii="Wingdings" w:hAnsi="Wingdings" w:hint="default"/>
      </w:rPr>
    </w:lvl>
  </w:abstractNum>
  <w:abstractNum w:abstractNumId="1">
    <w:nsid w:val="FFFFFF89"/>
    <w:multiLevelType w:val="singleLevel"/>
    <w:tmpl w:val="A95E1ED4"/>
    <w:lvl w:ilvl="0">
      <w:start w:val="1"/>
      <w:numFmt w:val="bullet"/>
      <w:lvlText w:val=""/>
      <w:lvlJc w:val="left"/>
      <w:pPr>
        <w:tabs>
          <w:tab w:val="num" w:pos="360"/>
        </w:tabs>
        <w:ind w:left="360" w:hanging="360"/>
      </w:pPr>
      <w:rPr>
        <w:rFonts w:ascii="Symbol" w:hAnsi="Symbol" w:hint="default"/>
      </w:rPr>
    </w:lvl>
  </w:abstractNum>
  <w:abstractNum w:abstractNumId="2">
    <w:nsid w:val="0D8A094D"/>
    <w:multiLevelType w:val="hybridMultilevel"/>
    <w:tmpl w:val="91526B92"/>
    <w:lvl w:ilvl="0" w:tplc="1B8AE388">
      <w:start w:val="1"/>
      <w:numFmt w:val="bullet"/>
      <w:pStyle w:val="Punktlista"/>
      <w:lvlText w:val=""/>
      <w:lvlJc w:val="left"/>
      <w:pPr>
        <w:tabs>
          <w:tab w:val="num" w:pos="284"/>
        </w:tabs>
        <w:ind w:left="284" w:hanging="284"/>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
    <w:nsid w:val="698262A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rxaw20rpx0z9ke0rzmx59x7f0szzrxfdt5a&quot;&gt;Eric&amp;apos;s EndNote Library&lt;record-ids&gt;&lt;item&gt;462&lt;/item&gt;&lt;item&gt;645&lt;/item&gt;&lt;item&gt;729&lt;/item&gt;&lt;item&gt;730&lt;/item&gt;&lt;item&gt;1134&lt;/item&gt;&lt;/record-ids&gt;&lt;/item&gt;&lt;/Libraries&gt;"/>
  </w:docVars>
  <w:rsids>
    <w:rsidRoot w:val="00D73CB5"/>
    <w:rsid w:val="00013110"/>
    <w:rsid w:val="00021EC1"/>
    <w:rsid w:val="00041613"/>
    <w:rsid w:val="000C414B"/>
    <w:rsid w:val="00160B30"/>
    <w:rsid w:val="00167B3F"/>
    <w:rsid w:val="00196EAC"/>
    <w:rsid w:val="001A14C4"/>
    <w:rsid w:val="00234421"/>
    <w:rsid w:val="002359CC"/>
    <w:rsid w:val="00297D2E"/>
    <w:rsid w:val="002E36BE"/>
    <w:rsid w:val="00300538"/>
    <w:rsid w:val="00300D94"/>
    <w:rsid w:val="003222F0"/>
    <w:rsid w:val="00335F7E"/>
    <w:rsid w:val="00345EED"/>
    <w:rsid w:val="00371F13"/>
    <w:rsid w:val="00382F2B"/>
    <w:rsid w:val="003A0F37"/>
    <w:rsid w:val="0048684E"/>
    <w:rsid w:val="004E27D5"/>
    <w:rsid w:val="004E3B76"/>
    <w:rsid w:val="00573582"/>
    <w:rsid w:val="00665386"/>
    <w:rsid w:val="00685F6F"/>
    <w:rsid w:val="006872A4"/>
    <w:rsid w:val="006C349B"/>
    <w:rsid w:val="00734D0B"/>
    <w:rsid w:val="00784691"/>
    <w:rsid w:val="007B441B"/>
    <w:rsid w:val="007B7AC2"/>
    <w:rsid w:val="007D0ABE"/>
    <w:rsid w:val="007E3CE1"/>
    <w:rsid w:val="007F4140"/>
    <w:rsid w:val="00813AE9"/>
    <w:rsid w:val="00852AE4"/>
    <w:rsid w:val="008F07DC"/>
    <w:rsid w:val="0094460B"/>
    <w:rsid w:val="00961942"/>
    <w:rsid w:val="009A54BF"/>
    <w:rsid w:val="009B0F81"/>
    <w:rsid w:val="009B3097"/>
    <w:rsid w:val="009B71C4"/>
    <w:rsid w:val="009C4137"/>
    <w:rsid w:val="009E42E2"/>
    <w:rsid w:val="00A21B5E"/>
    <w:rsid w:val="00A67A1D"/>
    <w:rsid w:val="00A71C29"/>
    <w:rsid w:val="00AD33C7"/>
    <w:rsid w:val="00AD42BA"/>
    <w:rsid w:val="00B227A5"/>
    <w:rsid w:val="00BD0478"/>
    <w:rsid w:val="00BD3A8B"/>
    <w:rsid w:val="00CB6E33"/>
    <w:rsid w:val="00CC409B"/>
    <w:rsid w:val="00D230D2"/>
    <w:rsid w:val="00D47D27"/>
    <w:rsid w:val="00D73CB5"/>
    <w:rsid w:val="00D8172B"/>
    <w:rsid w:val="00D95E00"/>
    <w:rsid w:val="00DC0350"/>
    <w:rsid w:val="00DF4988"/>
    <w:rsid w:val="00E00694"/>
    <w:rsid w:val="00E91DC4"/>
    <w:rsid w:val="00E95EF6"/>
    <w:rsid w:val="00EA247A"/>
    <w:rsid w:val="00EF5FA1"/>
    <w:rsid w:val="00F0766E"/>
    <w:rsid w:val="00F51EE3"/>
    <w:rsid w:val="00F5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8DDC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B5"/>
    <w:rPr>
      <w:rFonts w:ascii="Times New Roman" w:eastAsia="Times New Roman" w:hAnsi="Times New Roman" w:cs="Times New Roman"/>
      <w:sz w:val="22"/>
      <w:szCs w:val="20"/>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aliases w:val="Punkter"/>
    <w:basedOn w:val="Punktlista2"/>
    <w:rsid w:val="009B71C4"/>
    <w:pPr>
      <w:numPr>
        <w:numId w:val="2"/>
      </w:numPr>
    </w:pPr>
    <w:rPr>
      <w:rFonts w:ascii="Times" w:hAnsi="Times"/>
      <w:sz w:val="24"/>
    </w:rPr>
  </w:style>
  <w:style w:type="paragraph" w:styleId="Brdtext">
    <w:name w:val="Body Text"/>
    <w:basedOn w:val="Normal"/>
    <w:link w:val="BrdtextChar"/>
    <w:rsid w:val="00D73CB5"/>
    <w:rPr>
      <w:rFonts w:ascii="Times" w:hAnsi="Times"/>
      <w:color w:val="000000"/>
      <w:sz w:val="24"/>
      <w:lang w:val="en-US"/>
    </w:rPr>
  </w:style>
  <w:style w:type="character" w:customStyle="1" w:styleId="BrdtextChar">
    <w:name w:val="Brödtext Char"/>
    <w:basedOn w:val="Standardstycketypsnitt"/>
    <w:link w:val="Brdtext"/>
    <w:rsid w:val="00D73CB5"/>
    <w:rPr>
      <w:rFonts w:ascii="Times" w:eastAsia="Times New Roman" w:hAnsi="Times" w:cs="Times New Roman"/>
      <w:color w:val="000000"/>
      <w:szCs w:val="20"/>
    </w:rPr>
  </w:style>
  <w:style w:type="paragraph" w:styleId="HTML-adress">
    <w:name w:val="HTML Address"/>
    <w:aliases w:val=" adress"/>
    <w:basedOn w:val="z-Brjanavformulret"/>
    <w:link w:val="HTML-adressChar"/>
    <w:rsid w:val="00D73CB5"/>
    <w:pPr>
      <w:pBdr>
        <w:bottom w:val="none" w:sz="0" w:space="0" w:color="auto"/>
      </w:pBdr>
    </w:pPr>
    <w:rPr>
      <w:rFonts w:ascii="Times New Roman" w:hAnsi="Times New Roman" w:cs="Times New Roman"/>
      <w:i/>
      <w:vanish w:val="0"/>
      <w:sz w:val="24"/>
      <w:szCs w:val="20"/>
      <w:lang w:val="en-US"/>
    </w:rPr>
  </w:style>
  <w:style w:type="character" w:customStyle="1" w:styleId="HTML-adressChar">
    <w:name w:val="HTML-adress Char"/>
    <w:aliases w:val=" adress Char"/>
    <w:basedOn w:val="Standardstycketypsnitt"/>
    <w:link w:val="HTML-adress"/>
    <w:rsid w:val="00D73CB5"/>
    <w:rPr>
      <w:rFonts w:ascii="Times New Roman" w:eastAsia="Times New Roman" w:hAnsi="Times New Roman" w:cs="Times New Roman"/>
      <w:i/>
      <w:szCs w:val="20"/>
    </w:rPr>
  </w:style>
  <w:style w:type="paragraph" w:styleId="z-Brjanavformulret">
    <w:name w:val="HTML Top of Form"/>
    <w:basedOn w:val="Normal"/>
    <w:next w:val="Normal"/>
    <w:link w:val="z-BrjanavformulretChar"/>
    <w:hidden/>
    <w:uiPriority w:val="99"/>
    <w:semiHidden/>
    <w:unhideWhenUsed/>
    <w:rsid w:val="00D73CB5"/>
    <w:pPr>
      <w:pBdr>
        <w:bottom w:val="single" w:sz="6" w:space="1" w:color="auto"/>
      </w:pBdr>
      <w:jc w:val="center"/>
    </w:pPr>
    <w:rPr>
      <w:rFonts w:ascii="Arial" w:hAnsi="Arial" w:cs="Arial"/>
      <w:vanish/>
      <w:sz w:val="16"/>
      <w:szCs w:val="16"/>
    </w:rPr>
  </w:style>
  <w:style w:type="character" w:customStyle="1" w:styleId="z-BrjanavformulretChar">
    <w:name w:val="z-Början av formuläret Char"/>
    <w:basedOn w:val="Standardstycketypsnitt"/>
    <w:link w:val="z-Brjanavformulret"/>
    <w:uiPriority w:val="99"/>
    <w:semiHidden/>
    <w:rsid w:val="00D73CB5"/>
    <w:rPr>
      <w:rFonts w:ascii="Arial" w:eastAsia="Times New Roman" w:hAnsi="Arial" w:cs="Arial"/>
      <w:vanish/>
      <w:sz w:val="16"/>
      <w:szCs w:val="16"/>
      <w:lang w:val="sv-SE"/>
    </w:rPr>
  </w:style>
  <w:style w:type="paragraph" w:styleId="Sidhuvud">
    <w:name w:val="header"/>
    <w:basedOn w:val="Normal"/>
    <w:link w:val="SidhuvudChar"/>
    <w:uiPriority w:val="99"/>
    <w:unhideWhenUsed/>
    <w:rsid w:val="00D73CB5"/>
    <w:pPr>
      <w:tabs>
        <w:tab w:val="center" w:pos="4536"/>
        <w:tab w:val="right" w:pos="9072"/>
      </w:tabs>
    </w:pPr>
  </w:style>
  <w:style w:type="character" w:customStyle="1" w:styleId="SidhuvudChar">
    <w:name w:val="Sidhuvud Char"/>
    <w:basedOn w:val="Standardstycketypsnitt"/>
    <w:link w:val="Sidhuvud"/>
    <w:uiPriority w:val="99"/>
    <w:rsid w:val="00D73CB5"/>
    <w:rPr>
      <w:rFonts w:ascii="Times New Roman" w:eastAsia="Times New Roman" w:hAnsi="Times New Roman" w:cs="Times New Roman"/>
      <w:sz w:val="22"/>
      <w:szCs w:val="20"/>
      <w:lang w:val="sv-SE"/>
    </w:rPr>
  </w:style>
  <w:style w:type="paragraph" w:styleId="Sidfot">
    <w:name w:val="footer"/>
    <w:basedOn w:val="Normal"/>
    <w:link w:val="SidfotChar"/>
    <w:unhideWhenUsed/>
    <w:rsid w:val="00D73CB5"/>
    <w:pPr>
      <w:tabs>
        <w:tab w:val="center" w:pos="4536"/>
        <w:tab w:val="right" w:pos="9072"/>
      </w:tabs>
    </w:pPr>
  </w:style>
  <w:style w:type="character" w:customStyle="1" w:styleId="SidfotChar">
    <w:name w:val="Sidfot Char"/>
    <w:basedOn w:val="Standardstycketypsnitt"/>
    <w:link w:val="Sidfot"/>
    <w:rsid w:val="00D73CB5"/>
    <w:rPr>
      <w:rFonts w:ascii="Times New Roman" w:eastAsia="Times New Roman" w:hAnsi="Times New Roman" w:cs="Times New Roman"/>
      <w:sz w:val="22"/>
      <w:szCs w:val="20"/>
      <w:lang w:val="sv-SE"/>
    </w:rPr>
  </w:style>
  <w:style w:type="character" w:styleId="Sidnummer">
    <w:name w:val="page number"/>
    <w:rsid w:val="00D73CB5"/>
  </w:style>
  <w:style w:type="paragraph" w:styleId="Normalwebb">
    <w:name w:val="Normal (Web)"/>
    <w:basedOn w:val="Normal"/>
    <w:uiPriority w:val="99"/>
    <w:semiHidden/>
    <w:unhideWhenUsed/>
    <w:rsid w:val="00A21B5E"/>
    <w:pPr>
      <w:spacing w:before="100" w:beforeAutospacing="1" w:after="100" w:afterAutospacing="1"/>
    </w:pPr>
    <w:rPr>
      <w:rFonts w:ascii="Times" w:eastAsiaTheme="minorEastAsia" w:hAnsi="Times"/>
      <w:sz w:val="20"/>
      <w:lang w:val="en-US"/>
    </w:rPr>
  </w:style>
  <w:style w:type="paragraph" w:customStyle="1" w:styleId="Punktlistax">
    <w:name w:val="Punktlista x"/>
    <w:basedOn w:val="Punktlista2"/>
    <w:qFormat/>
    <w:rsid w:val="00335F7E"/>
    <w:pPr>
      <w:numPr>
        <w:numId w:val="3"/>
      </w:numPr>
    </w:pPr>
    <w:rPr>
      <w:rFonts w:ascii="Times" w:hAnsi="Times"/>
      <w:sz w:val="24"/>
    </w:rPr>
  </w:style>
  <w:style w:type="paragraph" w:styleId="Punktlista2">
    <w:name w:val="List Bullet 2"/>
    <w:basedOn w:val="Normal"/>
    <w:uiPriority w:val="99"/>
    <w:semiHidden/>
    <w:unhideWhenUsed/>
    <w:rsid w:val="007E3CE1"/>
    <w:pPr>
      <w:contextualSpacing/>
    </w:pPr>
  </w:style>
  <w:style w:type="character" w:styleId="Hyperlnk">
    <w:name w:val="Hyperlink"/>
    <w:basedOn w:val="Standardstycketypsnitt"/>
    <w:uiPriority w:val="99"/>
    <w:unhideWhenUsed/>
    <w:rsid w:val="00D47D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B5"/>
    <w:rPr>
      <w:rFonts w:ascii="Times New Roman" w:eastAsia="Times New Roman" w:hAnsi="Times New Roman" w:cs="Times New Roman"/>
      <w:sz w:val="22"/>
      <w:szCs w:val="20"/>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aliases w:val="Punkter"/>
    <w:basedOn w:val="Punktlista2"/>
    <w:rsid w:val="009B71C4"/>
    <w:pPr>
      <w:numPr>
        <w:numId w:val="2"/>
      </w:numPr>
    </w:pPr>
    <w:rPr>
      <w:rFonts w:ascii="Times" w:hAnsi="Times"/>
      <w:sz w:val="24"/>
    </w:rPr>
  </w:style>
  <w:style w:type="paragraph" w:styleId="Brdtext">
    <w:name w:val="Body Text"/>
    <w:basedOn w:val="Normal"/>
    <w:link w:val="BrdtextChar"/>
    <w:rsid w:val="00D73CB5"/>
    <w:rPr>
      <w:rFonts w:ascii="Times" w:hAnsi="Times"/>
      <w:color w:val="000000"/>
      <w:sz w:val="24"/>
      <w:lang w:val="en-US"/>
    </w:rPr>
  </w:style>
  <w:style w:type="character" w:customStyle="1" w:styleId="BrdtextChar">
    <w:name w:val="Brödtext Char"/>
    <w:basedOn w:val="Standardstycketypsnitt"/>
    <w:link w:val="Brdtext"/>
    <w:rsid w:val="00D73CB5"/>
    <w:rPr>
      <w:rFonts w:ascii="Times" w:eastAsia="Times New Roman" w:hAnsi="Times" w:cs="Times New Roman"/>
      <w:color w:val="000000"/>
      <w:szCs w:val="20"/>
    </w:rPr>
  </w:style>
  <w:style w:type="paragraph" w:styleId="HTML-adress">
    <w:name w:val="HTML Address"/>
    <w:aliases w:val=" adress"/>
    <w:basedOn w:val="z-Brjanavformulret"/>
    <w:link w:val="HTML-adressChar"/>
    <w:rsid w:val="00D73CB5"/>
    <w:pPr>
      <w:pBdr>
        <w:bottom w:val="none" w:sz="0" w:space="0" w:color="auto"/>
      </w:pBdr>
    </w:pPr>
    <w:rPr>
      <w:rFonts w:ascii="Times New Roman" w:hAnsi="Times New Roman" w:cs="Times New Roman"/>
      <w:i/>
      <w:vanish w:val="0"/>
      <w:sz w:val="24"/>
      <w:szCs w:val="20"/>
      <w:lang w:val="en-US"/>
    </w:rPr>
  </w:style>
  <w:style w:type="character" w:customStyle="1" w:styleId="HTML-adressChar">
    <w:name w:val="HTML-adress Char"/>
    <w:aliases w:val=" adress Char"/>
    <w:basedOn w:val="Standardstycketypsnitt"/>
    <w:link w:val="HTML-adress"/>
    <w:rsid w:val="00D73CB5"/>
    <w:rPr>
      <w:rFonts w:ascii="Times New Roman" w:eastAsia="Times New Roman" w:hAnsi="Times New Roman" w:cs="Times New Roman"/>
      <w:i/>
      <w:szCs w:val="20"/>
    </w:rPr>
  </w:style>
  <w:style w:type="paragraph" w:styleId="z-Brjanavformulret">
    <w:name w:val="HTML Top of Form"/>
    <w:basedOn w:val="Normal"/>
    <w:next w:val="Normal"/>
    <w:link w:val="z-BrjanavformulretChar"/>
    <w:hidden/>
    <w:uiPriority w:val="99"/>
    <w:semiHidden/>
    <w:unhideWhenUsed/>
    <w:rsid w:val="00D73CB5"/>
    <w:pPr>
      <w:pBdr>
        <w:bottom w:val="single" w:sz="6" w:space="1" w:color="auto"/>
      </w:pBdr>
      <w:jc w:val="center"/>
    </w:pPr>
    <w:rPr>
      <w:rFonts w:ascii="Arial" w:hAnsi="Arial" w:cs="Arial"/>
      <w:vanish/>
      <w:sz w:val="16"/>
      <w:szCs w:val="16"/>
    </w:rPr>
  </w:style>
  <w:style w:type="character" w:customStyle="1" w:styleId="z-BrjanavformulretChar">
    <w:name w:val="z-Början av formuläret Char"/>
    <w:basedOn w:val="Standardstycketypsnitt"/>
    <w:link w:val="z-Brjanavformulret"/>
    <w:uiPriority w:val="99"/>
    <w:semiHidden/>
    <w:rsid w:val="00D73CB5"/>
    <w:rPr>
      <w:rFonts w:ascii="Arial" w:eastAsia="Times New Roman" w:hAnsi="Arial" w:cs="Arial"/>
      <w:vanish/>
      <w:sz w:val="16"/>
      <w:szCs w:val="16"/>
      <w:lang w:val="sv-SE"/>
    </w:rPr>
  </w:style>
  <w:style w:type="paragraph" w:styleId="Sidhuvud">
    <w:name w:val="header"/>
    <w:basedOn w:val="Normal"/>
    <w:link w:val="SidhuvudChar"/>
    <w:uiPriority w:val="99"/>
    <w:unhideWhenUsed/>
    <w:rsid w:val="00D73CB5"/>
    <w:pPr>
      <w:tabs>
        <w:tab w:val="center" w:pos="4536"/>
        <w:tab w:val="right" w:pos="9072"/>
      </w:tabs>
    </w:pPr>
  </w:style>
  <w:style w:type="character" w:customStyle="1" w:styleId="SidhuvudChar">
    <w:name w:val="Sidhuvud Char"/>
    <w:basedOn w:val="Standardstycketypsnitt"/>
    <w:link w:val="Sidhuvud"/>
    <w:uiPriority w:val="99"/>
    <w:rsid w:val="00D73CB5"/>
    <w:rPr>
      <w:rFonts w:ascii="Times New Roman" w:eastAsia="Times New Roman" w:hAnsi="Times New Roman" w:cs="Times New Roman"/>
      <w:sz w:val="22"/>
      <w:szCs w:val="20"/>
      <w:lang w:val="sv-SE"/>
    </w:rPr>
  </w:style>
  <w:style w:type="paragraph" w:styleId="Sidfot">
    <w:name w:val="footer"/>
    <w:basedOn w:val="Normal"/>
    <w:link w:val="SidfotChar"/>
    <w:unhideWhenUsed/>
    <w:rsid w:val="00D73CB5"/>
    <w:pPr>
      <w:tabs>
        <w:tab w:val="center" w:pos="4536"/>
        <w:tab w:val="right" w:pos="9072"/>
      </w:tabs>
    </w:pPr>
  </w:style>
  <w:style w:type="character" w:customStyle="1" w:styleId="SidfotChar">
    <w:name w:val="Sidfot Char"/>
    <w:basedOn w:val="Standardstycketypsnitt"/>
    <w:link w:val="Sidfot"/>
    <w:rsid w:val="00D73CB5"/>
    <w:rPr>
      <w:rFonts w:ascii="Times New Roman" w:eastAsia="Times New Roman" w:hAnsi="Times New Roman" w:cs="Times New Roman"/>
      <w:sz w:val="22"/>
      <w:szCs w:val="20"/>
      <w:lang w:val="sv-SE"/>
    </w:rPr>
  </w:style>
  <w:style w:type="character" w:styleId="Sidnummer">
    <w:name w:val="page number"/>
    <w:rsid w:val="00D73CB5"/>
  </w:style>
  <w:style w:type="paragraph" w:styleId="Normalwebb">
    <w:name w:val="Normal (Web)"/>
    <w:basedOn w:val="Normal"/>
    <w:uiPriority w:val="99"/>
    <w:semiHidden/>
    <w:unhideWhenUsed/>
    <w:rsid w:val="00A21B5E"/>
    <w:pPr>
      <w:spacing w:before="100" w:beforeAutospacing="1" w:after="100" w:afterAutospacing="1"/>
    </w:pPr>
    <w:rPr>
      <w:rFonts w:ascii="Times" w:eastAsiaTheme="minorEastAsia" w:hAnsi="Times"/>
      <w:sz w:val="20"/>
      <w:lang w:val="en-US"/>
    </w:rPr>
  </w:style>
  <w:style w:type="paragraph" w:customStyle="1" w:styleId="Punktlistax">
    <w:name w:val="Punktlista x"/>
    <w:basedOn w:val="Punktlista2"/>
    <w:qFormat/>
    <w:rsid w:val="00335F7E"/>
    <w:pPr>
      <w:numPr>
        <w:numId w:val="3"/>
      </w:numPr>
    </w:pPr>
    <w:rPr>
      <w:rFonts w:ascii="Times" w:hAnsi="Times"/>
      <w:sz w:val="24"/>
    </w:rPr>
  </w:style>
  <w:style w:type="paragraph" w:styleId="Punktlista2">
    <w:name w:val="List Bullet 2"/>
    <w:basedOn w:val="Normal"/>
    <w:uiPriority w:val="99"/>
    <w:semiHidden/>
    <w:unhideWhenUsed/>
    <w:rsid w:val="007E3CE1"/>
    <w:pPr>
      <w:contextualSpacing/>
    </w:pPr>
  </w:style>
  <w:style w:type="character" w:styleId="Hyperlnk">
    <w:name w:val="Hyperlink"/>
    <w:basedOn w:val="Standardstycketypsnitt"/>
    <w:uiPriority w:val="99"/>
    <w:unhideWhenUsed/>
    <w:rsid w:val="00D47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66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2284</Words>
  <Characters>12108</Characters>
  <Application>Microsoft Macintosh Word</Application>
  <DocSecurity>0</DocSecurity>
  <Lines>100</Lines>
  <Paragraphs>28</Paragraphs>
  <ScaleCrop>false</ScaleCrop>
  <Company>HEJD Education HB</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Dryver</dc:creator>
  <cp:keywords/>
  <dc:description/>
  <cp:lastModifiedBy>Eric Dryver</cp:lastModifiedBy>
  <cp:revision>46</cp:revision>
  <dcterms:created xsi:type="dcterms:W3CDTF">2013-04-14T09:36:00Z</dcterms:created>
  <dcterms:modified xsi:type="dcterms:W3CDTF">2018-09-28T07:48:00Z</dcterms:modified>
</cp:coreProperties>
</file>